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outlineLvl w:val="9"/>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eastAsia="zh-CN"/>
        </w:rPr>
        <w:t>威海市自然资源和规划局</w:t>
      </w:r>
    </w:p>
    <w:p>
      <w:pPr>
        <w:keepNext w:val="0"/>
        <w:keepLines w:val="0"/>
        <w:pageBreakBefore w:val="0"/>
        <w:kinsoku/>
        <w:wordWrap/>
        <w:overflowPunct/>
        <w:topLinePunct w:val="0"/>
        <w:autoSpaceDE/>
        <w:autoSpaceDN/>
        <w:bidi w:val="0"/>
        <w:adjustRightInd/>
        <w:snapToGrid/>
        <w:spacing w:line="560" w:lineRule="exact"/>
        <w:jc w:val="center"/>
        <w:textAlignment w:val="auto"/>
        <w:outlineLvl w:val="9"/>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eastAsia="zh-CN"/>
        </w:rPr>
        <w:t>矿产资源、城乡规划领域信用分级分类</w:t>
      </w:r>
    </w:p>
    <w:p>
      <w:pPr>
        <w:keepNext w:val="0"/>
        <w:keepLines w:val="0"/>
        <w:pageBreakBefore w:val="0"/>
        <w:kinsoku/>
        <w:wordWrap/>
        <w:overflowPunct/>
        <w:topLinePunct w:val="0"/>
        <w:autoSpaceDE/>
        <w:autoSpaceDN/>
        <w:bidi w:val="0"/>
        <w:adjustRightInd/>
        <w:snapToGrid/>
        <w:spacing w:line="560" w:lineRule="exact"/>
        <w:jc w:val="center"/>
        <w:textAlignment w:val="auto"/>
        <w:outlineLvl w:val="9"/>
        <w:rPr>
          <w:rFonts w:hint="eastAsia" w:ascii="黑体" w:hAnsi="黑体" w:eastAsia="黑体" w:cs="黑体"/>
          <w:b w:val="0"/>
          <w:bCs w:val="0"/>
          <w:sz w:val="44"/>
          <w:szCs w:val="44"/>
          <w:lang w:eastAsia="zh-CN"/>
        </w:rPr>
      </w:pPr>
      <w:r>
        <w:rPr>
          <w:rFonts w:hint="eastAsia" w:ascii="黑体" w:hAnsi="黑体" w:eastAsia="黑体" w:cs="黑体"/>
          <w:b w:val="0"/>
          <w:bCs w:val="0"/>
          <w:sz w:val="44"/>
          <w:szCs w:val="44"/>
          <w:lang w:eastAsia="zh-CN"/>
        </w:rPr>
        <w:t>监管办法（暂行）</w:t>
      </w:r>
    </w:p>
    <w:p>
      <w:pPr>
        <w:keepNext w:val="0"/>
        <w:keepLines w:val="0"/>
        <w:pageBreakBefore w:val="0"/>
        <w:kinsoku/>
        <w:wordWrap/>
        <w:overflowPunct/>
        <w:topLinePunct w:val="0"/>
        <w:autoSpaceDE/>
        <w:autoSpaceDN/>
        <w:bidi w:val="0"/>
        <w:adjustRightInd/>
        <w:snapToGrid/>
        <w:spacing w:line="560" w:lineRule="exact"/>
        <w:jc w:val="center"/>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center"/>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第一章  总 则</w:t>
      </w:r>
    </w:p>
    <w:p>
      <w:pPr>
        <w:keepNext w:val="0"/>
        <w:keepLines w:val="0"/>
        <w:pageBreakBefore w:val="0"/>
        <w:widowControl w:val="0"/>
        <w:kinsoku/>
        <w:wordWrap/>
        <w:overflowPunct/>
        <w:topLinePunct w:val="0"/>
        <w:autoSpaceDE/>
        <w:autoSpaceDN/>
        <w:bidi w:val="0"/>
        <w:adjustRightInd/>
        <w:snapToGrid w:val="0"/>
        <w:spacing w:line="520" w:lineRule="exact"/>
        <w:ind w:left="0" w:leftChars="0" w:right="0" w:rightChars="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第一条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lang w:val="en-US" w:eastAsia="zh-CN"/>
        </w:rPr>
        <w:t>为推进社会信用体系制度化，创新监管方式，加强事中事后监管，实施差异化监管，提升监管效率，规范我市矿产资源和城乡规划领域信用信息管理，有效惩戒失信行为，激励守信行为，</w:t>
      </w:r>
      <w:r>
        <w:rPr>
          <w:rFonts w:hint="eastAsia" w:ascii="仿宋_GB2312" w:hAnsi="仿宋_GB2312" w:eastAsia="仿宋_GB2312" w:cs="仿宋_GB2312"/>
          <w:sz w:val="32"/>
          <w:szCs w:val="32"/>
        </w:rPr>
        <w:t>根据</w:t>
      </w:r>
      <w:r>
        <w:rPr>
          <w:rFonts w:hint="eastAsia" w:ascii="Times New Roman" w:hAnsi="Times New Roman" w:eastAsia="仿宋_GB2312" w:cs="Times New Roman"/>
          <w:color w:val="000000"/>
          <w:sz w:val="32"/>
          <w:szCs w:val="32"/>
          <w:lang w:val="en-US" w:eastAsia="zh-CN"/>
        </w:rPr>
        <w:t>《国务院办公厅关于加快推进社会信用体系建设构建以信用为基础的新型监管机制的指导意见》（国办发</w:t>
      </w:r>
      <w:r>
        <w:rPr>
          <w:rFonts w:hint="eastAsia" w:ascii="仿宋_GB2312" w:hAnsi="仿宋_GB2312" w:eastAsia="仿宋_GB2312" w:cs="仿宋_GB2312"/>
          <w:sz w:val="32"/>
          <w:szCs w:val="32"/>
          <w:lang w:val="en-US" w:eastAsia="zh-CN"/>
        </w:rPr>
        <w:t>〔2019〕35号），</w:t>
      </w:r>
      <w:r>
        <w:rPr>
          <w:rFonts w:hint="eastAsia" w:ascii="仿宋_GB2312" w:hAnsi="仿宋_GB2312" w:eastAsia="仿宋_GB2312" w:cs="仿宋_GB2312"/>
          <w:sz w:val="32"/>
          <w:szCs w:val="32"/>
          <w:lang w:eastAsia="zh-CN"/>
        </w:rPr>
        <w:t>《山东省社会信用条例》，</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山东省人民政府关于建立和完善守信联合激励和失信联合惩戒制度加快推进社会诚信建设的实施意见》（鲁政发〔2017〕44号），《威海市公共信用信息管理办法》（威政发〔2016〕27号），</w:t>
      </w:r>
      <w:r>
        <w:rPr>
          <w:rFonts w:hint="eastAsia" w:ascii="仿宋_GB2312" w:hAnsi="仿宋_GB2312" w:eastAsia="仿宋_GB2312" w:cs="仿宋_GB2312"/>
          <w:sz w:val="32"/>
          <w:szCs w:val="32"/>
          <w:lang w:val="en-US" w:eastAsia="zh-CN"/>
        </w:rPr>
        <w:t>市社会信用体系建设领导小组2021年5月20日《关于进一步拓展信用分级分类监管领域的通知》的相关要求，结合我局实际情况，制定本《办法》。</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第二条</w:t>
      </w:r>
      <w:r>
        <w:rPr>
          <w:rFonts w:hint="eastAsia" w:ascii="仿宋_GB2312" w:hAnsi="仿宋_GB2312" w:eastAsia="仿宋_GB2312" w:cs="仿宋_GB2312"/>
          <w:sz w:val="32"/>
          <w:szCs w:val="32"/>
          <w:lang w:val="en-US" w:eastAsia="zh-CN"/>
        </w:rPr>
        <w:t xml:space="preserve">  根据我局相关监管职责，将行使的行政权力运行结果纳入社会信用记录，统一进行归集公示，实行信用分级分类监管。</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第三条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rPr>
        <w:t>信用等级</w:t>
      </w:r>
      <w:r>
        <w:rPr>
          <w:rFonts w:hint="eastAsia" w:ascii="仿宋_GB2312" w:hAnsi="仿宋_GB2312" w:eastAsia="仿宋_GB2312" w:cs="仿宋_GB2312"/>
          <w:sz w:val="32"/>
          <w:szCs w:val="32"/>
          <w:lang w:eastAsia="zh-CN"/>
        </w:rPr>
        <w:t>认</w:t>
      </w:r>
      <w:r>
        <w:rPr>
          <w:rFonts w:hint="eastAsia" w:ascii="仿宋_GB2312" w:hAnsi="仿宋_GB2312" w:eastAsia="仿宋_GB2312" w:cs="仿宋_GB2312"/>
          <w:sz w:val="32"/>
          <w:szCs w:val="32"/>
        </w:rPr>
        <w:t>定</w:t>
      </w:r>
      <w:r>
        <w:rPr>
          <w:rFonts w:hint="eastAsia" w:ascii="仿宋_GB2312" w:hAnsi="仿宋_GB2312" w:eastAsia="仿宋_GB2312" w:cs="仿宋_GB2312"/>
          <w:sz w:val="32"/>
          <w:szCs w:val="32"/>
          <w:lang w:eastAsia="zh-CN"/>
        </w:rPr>
        <w:t>是依据一定的程序和方法，</w:t>
      </w:r>
      <w:r>
        <w:rPr>
          <w:rFonts w:hint="eastAsia" w:ascii="仿宋_GB2312" w:hAnsi="仿宋_GB2312" w:eastAsia="仿宋_GB2312" w:cs="仿宋_GB2312"/>
          <w:sz w:val="32"/>
          <w:szCs w:val="32"/>
        </w:rPr>
        <w:t>根据许可管理、日常监督检查、投诉举报、事中事后监督检查和其他专项监督检查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行政处罚和公众评价，并结合联合奖惩信息、“红黑名单”</w:t>
      </w:r>
      <w:r>
        <w:rPr>
          <w:rFonts w:hint="eastAsia" w:ascii="仿宋_GB2312" w:hAnsi="仿宋_GB2312" w:eastAsia="仿宋_GB2312" w:cs="仿宋_GB2312"/>
          <w:sz w:val="32"/>
          <w:szCs w:val="32"/>
          <w:lang w:eastAsia="zh-CN"/>
        </w:rPr>
        <w:t>进行综合评价，并认定信用等级的活动</w:t>
      </w:r>
      <w:r>
        <w:rPr>
          <w:rFonts w:hint="eastAsia" w:ascii="仿宋_GB2312" w:hAnsi="仿宋_GB2312" w:eastAsia="仿宋_GB2312" w:cs="仿宋_GB2312"/>
          <w:sz w:val="32"/>
          <w:szCs w:val="32"/>
        </w:rPr>
        <w:t>。信用信息的采集坚持实事求是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公开及时的原则，做到真实准确、证据充分。</w:t>
      </w:r>
      <w:r>
        <w:rPr>
          <w:rFonts w:hint="eastAsia" w:ascii="仿宋_GB2312" w:hAnsi="仿宋_GB2312" w:eastAsia="仿宋_GB2312" w:cs="仿宋_GB2312"/>
          <w:sz w:val="32"/>
          <w:szCs w:val="32"/>
          <w:lang w:val="en-US" w:eastAsia="zh-CN"/>
        </w:rPr>
        <w:t>信用等级认定实行动态管理，实时更新信用等级。</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第四条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sz w:val="32"/>
          <w:szCs w:val="32"/>
          <w:lang w:val="en-US" w:eastAsia="zh-CN"/>
        </w:rPr>
        <w:t> 本办法所称信用信息是指市场主体在实施勘查开采、矿业权招标、拍卖、挂牌出让等过程中产生的反映其执行矿产资源相关法律法规和其他规定的信用情况及市场主体在城乡规划编制实施过程中执行城乡规划相关法律法规及其他规定的信用情况。</w:t>
      </w:r>
    </w:p>
    <w:p>
      <w:pPr>
        <w:keepNext w:val="0"/>
        <w:keepLines w:val="0"/>
        <w:pageBreakBefore w:val="0"/>
        <w:widowControl w:val="0"/>
        <w:kinsoku/>
        <w:wordWrap/>
        <w:overflowPunct/>
        <w:topLinePunct w:val="0"/>
        <w:autoSpaceDE/>
        <w:autoSpaceDN/>
        <w:bidi w:val="0"/>
        <w:adjustRightInd/>
        <w:spacing w:line="520" w:lineRule="exact"/>
        <w:ind w:firstLine="640" w:firstLineChars="20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第二章</w:t>
      </w:r>
      <w:r>
        <w:rPr>
          <w:rFonts w:hint="eastAsia" w:ascii="黑体" w:hAnsi="黑体" w:eastAsia="黑体" w:cs="黑体"/>
          <w:b w:val="0"/>
          <w:bCs w:val="0"/>
          <w:sz w:val="32"/>
          <w:szCs w:val="32"/>
          <w:lang w:val="en-US" w:eastAsia="zh-CN"/>
        </w:rPr>
        <w:t xml:space="preserve">  信用等级的分类 、认定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eastAsia="zh-CN"/>
        </w:rPr>
        <w:t>第五条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矿产资源、城乡规划主管部门</w:t>
      </w:r>
      <w:r>
        <w:rPr>
          <w:rFonts w:hint="eastAsia" w:ascii="仿宋_GB2312" w:hAnsi="仿宋_GB2312" w:eastAsia="仿宋_GB2312" w:cs="仿宋_GB2312"/>
          <w:sz w:val="32"/>
          <w:szCs w:val="32"/>
        </w:rPr>
        <w:t>根据职责权限，遵循守信激励和失信惩戒的</w:t>
      </w:r>
      <w:r>
        <w:rPr>
          <w:rFonts w:hint="eastAsia" w:ascii="仿宋_GB2312" w:hAnsi="仿宋_GB2312" w:eastAsia="仿宋_GB2312" w:cs="仿宋_GB2312"/>
          <w:sz w:val="32"/>
          <w:szCs w:val="32"/>
          <w:lang w:eastAsia="zh-CN"/>
        </w:rPr>
        <w:t>原则</w:t>
      </w:r>
      <w:r>
        <w:rPr>
          <w:rFonts w:hint="eastAsia" w:ascii="仿宋_GB2312" w:hAnsi="仿宋_GB2312" w:eastAsia="仿宋_GB2312" w:cs="仿宋_GB2312"/>
          <w:sz w:val="32"/>
          <w:szCs w:val="32"/>
        </w:rPr>
        <w:t>，对市场主体的不同信用等级实施分类管理和服务。信用等级分为A、B、C</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D四</w:t>
      </w:r>
      <w:r>
        <w:rPr>
          <w:rFonts w:hint="eastAsia" w:ascii="仿宋_GB2312" w:hAnsi="仿宋_GB2312" w:eastAsia="仿宋_GB2312" w:cs="仿宋_GB2312"/>
          <w:sz w:val="32"/>
          <w:szCs w:val="32"/>
        </w:rPr>
        <w:t>个等级。A级</w:t>
      </w:r>
      <w:r>
        <w:rPr>
          <w:rFonts w:hint="eastAsia" w:ascii="仿宋_GB2312" w:hAnsi="仿宋_GB2312" w:eastAsia="仿宋_GB2312" w:cs="仿宋_GB2312"/>
          <w:sz w:val="32"/>
          <w:szCs w:val="32"/>
          <w:lang w:eastAsia="zh-CN"/>
        </w:rPr>
        <w:t>指</w:t>
      </w:r>
      <w:r>
        <w:rPr>
          <w:rFonts w:hint="eastAsia" w:ascii="仿宋_GB2312" w:hAnsi="仿宋_GB2312" w:eastAsia="仿宋_GB2312" w:cs="仿宋_GB2312"/>
          <w:sz w:val="32"/>
          <w:szCs w:val="32"/>
        </w:rPr>
        <w:t>信用优良</w:t>
      </w:r>
      <w:r>
        <w:rPr>
          <w:rFonts w:hint="eastAsia" w:ascii="仿宋_GB2312" w:hAnsi="仿宋_GB2312" w:eastAsia="仿宋_GB2312" w:cs="仿宋_GB2312"/>
          <w:sz w:val="32"/>
          <w:szCs w:val="32"/>
          <w:lang w:eastAsia="zh-CN"/>
        </w:rPr>
        <w:t>的市场主体，</w:t>
      </w:r>
      <w:r>
        <w:rPr>
          <w:rFonts w:hint="eastAsia" w:ascii="仿宋_GB2312" w:hAnsi="仿宋_GB2312" w:eastAsia="仿宋_GB2312" w:cs="仿宋_GB2312"/>
          <w:sz w:val="32"/>
          <w:szCs w:val="32"/>
        </w:rPr>
        <w:t>B级为</w:t>
      </w:r>
      <w:r>
        <w:rPr>
          <w:rFonts w:hint="eastAsia" w:ascii="仿宋_GB2312" w:hAnsi="仿宋_GB2312" w:eastAsia="仿宋_GB2312" w:cs="仿宋_GB2312"/>
          <w:sz w:val="32"/>
          <w:szCs w:val="32"/>
          <w:lang w:eastAsia="zh-CN"/>
        </w:rPr>
        <w:t>一般失信的市场主体，</w:t>
      </w:r>
      <w:r>
        <w:rPr>
          <w:rFonts w:hint="eastAsia" w:ascii="仿宋_GB2312" w:hAnsi="仿宋_GB2312" w:eastAsia="仿宋_GB2312" w:cs="仿宋_GB2312"/>
          <w:sz w:val="32"/>
          <w:szCs w:val="32"/>
        </w:rPr>
        <w:t>C级为</w:t>
      </w:r>
      <w:r>
        <w:rPr>
          <w:rFonts w:hint="eastAsia" w:ascii="仿宋_GB2312" w:hAnsi="仿宋_GB2312" w:eastAsia="仿宋_GB2312" w:cs="仿宋_GB2312"/>
          <w:sz w:val="32"/>
          <w:szCs w:val="32"/>
          <w:lang w:eastAsia="zh-CN"/>
        </w:rPr>
        <w:t>较</w:t>
      </w:r>
      <w:r>
        <w:rPr>
          <w:rFonts w:hint="eastAsia" w:ascii="仿宋_GB2312" w:hAnsi="仿宋_GB2312" w:eastAsia="仿宋_GB2312" w:cs="仿宋_GB2312"/>
          <w:sz w:val="32"/>
          <w:szCs w:val="32"/>
        </w:rPr>
        <w:t>重失信</w:t>
      </w:r>
      <w:r>
        <w:rPr>
          <w:rFonts w:hint="eastAsia" w:ascii="仿宋_GB2312" w:hAnsi="仿宋_GB2312" w:eastAsia="仿宋_GB2312" w:cs="仿宋_GB2312"/>
          <w:sz w:val="32"/>
          <w:szCs w:val="32"/>
          <w:lang w:eastAsia="zh-CN"/>
        </w:rPr>
        <w:t>的市场主体，</w:t>
      </w:r>
      <w:r>
        <w:rPr>
          <w:rFonts w:hint="eastAsia" w:ascii="仿宋_GB2312" w:hAnsi="仿宋_GB2312" w:eastAsia="仿宋_GB2312" w:cs="仿宋_GB2312"/>
          <w:sz w:val="32"/>
          <w:szCs w:val="32"/>
          <w:lang w:val="en-US" w:eastAsia="zh-CN"/>
        </w:rPr>
        <w:t>D级为严重失信的市场主体。</w:t>
      </w:r>
      <w:r>
        <w:rPr>
          <w:rFonts w:hint="eastAsia" w:ascii="仿宋_GB2312" w:hAnsi="仿宋_GB2312" w:eastAsia="仿宋_GB2312" w:cs="仿宋_GB2312"/>
          <w:sz w:val="32"/>
          <w:szCs w:val="32"/>
          <w:lang w:eastAsia="zh-CN"/>
        </w:rPr>
        <w:t>其中，</w:t>
      </w:r>
      <w:r>
        <w:rPr>
          <w:rFonts w:hint="eastAsia" w:ascii="仿宋_GB2312" w:hAnsi="仿宋_GB2312" w:eastAsia="仿宋_GB2312" w:cs="仿宋_GB2312"/>
          <w:sz w:val="32"/>
          <w:szCs w:val="32"/>
          <w:lang w:val="en-US" w:eastAsia="zh-CN"/>
        </w:rPr>
        <w:t>B、C级信用主体纳入失信信息名单，D级信用主体纳入失信异常名单。</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jc w:val="both"/>
        <w:textAlignment w:val="auto"/>
        <w:outlineLvl w:val="9"/>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第六条　矿产资源领域信用等级认定</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（一）A级信用：指市场主体在上一年度，遵守法律法规，无违法失信行为。</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B级信用，指市场主体有下列一般失信行为之一的：1.采矿权人违反有关矿产资源管理法律法规规定，被处以责令限期改正逾期未改或整改不到位的，或被处罚款金额在5万元以下的违法违规行为。2.矿业权人违反合同约定，未造成严重后果，并积极改正的。</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（三）C级信用，指市场主体有下列较重失信行为之一</w:t>
      </w:r>
      <w:r>
        <w:rPr>
          <w:rFonts w:hint="eastAsia" w:ascii="仿宋_GB2312" w:hAnsi="仿宋_GB2312" w:eastAsia="仿宋_GB2312" w:cs="仿宋_GB2312"/>
          <w:color w:val="auto"/>
          <w:sz w:val="32"/>
          <w:szCs w:val="32"/>
          <w:lang w:val="en-US" w:eastAsia="zh-CN"/>
        </w:rPr>
        <w:t>：1.截至年度信息填报结束之日，矿业权人未按规定公示年度信息的；2.自然资源主管部门发现并查实矿业权人年度信息隐瞒真实情况、弄虚作假的；</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eastAsia="zh-CN"/>
        </w:rPr>
        <w:t>矿业权人违反有关矿产资源法律法规规定，被处罚款金额在</w:t>
      </w:r>
      <w:r>
        <w:rPr>
          <w:rFonts w:hint="eastAsia" w:ascii="仿宋_GB2312" w:hAnsi="仿宋_GB2312" w:eastAsia="仿宋_GB2312" w:cs="仿宋_GB2312"/>
          <w:sz w:val="32"/>
          <w:szCs w:val="32"/>
          <w:lang w:val="en-US" w:eastAsia="zh-CN"/>
        </w:rPr>
        <w:t>5万元以上或被处以停产整顿的违法违规行为。</w:t>
      </w:r>
    </w:p>
    <w:p>
      <w:pPr>
        <w:keepNext w:val="0"/>
        <w:keepLines w:val="0"/>
        <w:pageBreakBefore w:val="0"/>
        <w:widowControl w:val="0"/>
        <w:kinsoku/>
        <w:wordWrap/>
        <w:overflowPunct/>
        <w:topLinePunct w:val="0"/>
        <w:autoSpaceDE/>
        <w:autoSpaceDN/>
        <w:bidi w:val="0"/>
        <w:adjustRightInd/>
        <w:spacing w:line="520" w:lineRule="exact"/>
        <w:ind w:firstLine="64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lang w:val="en-US" w:eastAsia="zh-CN"/>
        </w:rPr>
        <w:t>D级信用，指</w:t>
      </w:r>
      <w:r>
        <w:rPr>
          <w:rFonts w:hint="eastAsia" w:ascii="仿宋_GB2312" w:hAnsi="仿宋_GB2312" w:eastAsia="仿宋_GB2312" w:cs="仿宋_GB2312"/>
          <w:sz w:val="32"/>
          <w:szCs w:val="32"/>
        </w:rPr>
        <w:t>市场主体</w:t>
      </w:r>
      <w:r>
        <w:rPr>
          <w:rFonts w:hint="eastAsia" w:ascii="仿宋_GB2312" w:hAnsi="仿宋_GB2312" w:eastAsia="仿宋_GB2312" w:cs="仿宋_GB2312"/>
          <w:sz w:val="32"/>
          <w:szCs w:val="32"/>
          <w:lang w:eastAsia="zh-CN"/>
        </w:rPr>
        <w:t>有下列严重失信行为之一的</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color w:val="auto"/>
          <w:sz w:val="32"/>
          <w:szCs w:val="32"/>
          <w:lang w:val="en-US" w:eastAsia="zh-CN"/>
        </w:rPr>
        <w:t>1.被列入异常名录满3年仍未公示信息的；</w:t>
      </w:r>
      <w:r>
        <w:rPr>
          <w:rFonts w:hint="eastAsia" w:ascii="仿宋_GB2312" w:hAnsi="仿宋_GB2312" w:eastAsia="仿宋_GB2312" w:cs="仿宋_GB2312"/>
          <w:sz w:val="32"/>
          <w:szCs w:val="32"/>
          <w:lang w:val="en-US" w:eastAsia="zh-CN"/>
        </w:rPr>
        <w:t>2.矿业权人违反有关矿产资源管理法律法规和刑法，被处以责令关闭、吊销许可证的；3.法定代表人因非法采矿罪、破坏性采矿罪受到刑事处罚的；4.</w:t>
      </w:r>
      <w:r>
        <w:rPr>
          <w:rFonts w:hint="eastAsia" w:ascii="仿宋_GB2312" w:hAnsi="仿宋_GB2312" w:eastAsia="仿宋_GB2312" w:cs="仿宋_GB2312"/>
          <w:color w:val="auto"/>
          <w:sz w:val="32"/>
          <w:szCs w:val="32"/>
          <w:lang w:eastAsia="zh-CN"/>
        </w:rPr>
        <w:t>市场主体被列入联合惩戒名单的</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outlineLvl w:val="9"/>
        <w:rPr>
          <w:rFonts w:hint="eastAsia" w:ascii="方正小标宋简体" w:hAnsi="方正小标宋简体" w:eastAsia="方正小标宋简体" w:cs="方正小标宋简体"/>
          <w:sz w:val="32"/>
          <w:szCs w:val="32"/>
          <w:lang w:val="en-US" w:eastAsia="zh-CN"/>
        </w:rPr>
      </w:pPr>
      <w:r>
        <w:rPr>
          <w:rFonts w:hint="eastAsia" w:ascii="仿宋_GB2312" w:hAnsi="仿宋_GB2312" w:eastAsia="仿宋_GB2312" w:cs="仿宋_GB2312"/>
          <w:sz w:val="32"/>
          <w:szCs w:val="32"/>
          <w:lang w:eastAsia="zh-CN"/>
        </w:rPr>
        <w:t>第七条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城乡规划领域信用等级认定</w:t>
      </w:r>
      <w:r>
        <w:rPr>
          <w:rFonts w:hint="eastAsia" w:ascii="仿宋_GB2312" w:hAnsi="仿宋_GB2312" w:eastAsia="仿宋_GB2312" w:cs="仿宋_GB2312"/>
          <w:sz w:val="32"/>
          <w:szCs w:val="32"/>
          <w:lang w:val="en-US" w:eastAsia="zh-CN"/>
        </w:rPr>
        <w:t xml:space="preserve"> </w:t>
      </w:r>
      <w:r>
        <w:rPr>
          <w:rFonts w:hint="eastAsia" w:ascii="方正小标宋简体" w:hAnsi="方正小标宋简体" w:eastAsia="方正小标宋简体" w:cs="方正小标宋简体"/>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pacing w:line="520" w:lineRule="exact"/>
        <w:ind w:firstLine="64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（一）A级信用</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指</w:t>
      </w:r>
      <w:r>
        <w:rPr>
          <w:rFonts w:hint="eastAsia" w:ascii="仿宋_GB2312" w:hAnsi="仿宋_GB2312" w:eastAsia="仿宋_GB2312" w:cs="仿宋_GB2312"/>
          <w:sz w:val="32"/>
          <w:szCs w:val="32"/>
        </w:rPr>
        <w:t>市场主体在</w:t>
      </w:r>
      <w:r>
        <w:rPr>
          <w:rFonts w:hint="eastAsia" w:ascii="仿宋_GB2312" w:hAnsi="仿宋_GB2312" w:eastAsia="仿宋_GB2312" w:cs="仿宋_GB2312"/>
          <w:sz w:val="32"/>
          <w:szCs w:val="32"/>
          <w:lang w:eastAsia="zh-CN"/>
        </w:rPr>
        <w:t>上一年度</w:t>
      </w:r>
      <w:r>
        <w:rPr>
          <w:rFonts w:hint="eastAsia" w:ascii="仿宋_GB2312" w:hAnsi="仿宋_GB2312" w:eastAsia="仿宋_GB2312" w:cs="仿宋_GB2312"/>
          <w:sz w:val="32"/>
          <w:szCs w:val="32"/>
        </w:rPr>
        <w:t>城乡规划</w:t>
      </w:r>
      <w:r>
        <w:rPr>
          <w:rFonts w:hint="eastAsia" w:ascii="仿宋_GB2312" w:hAnsi="仿宋_GB2312" w:eastAsia="仿宋_GB2312" w:cs="仿宋_GB2312"/>
          <w:sz w:val="32"/>
          <w:szCs w:val="32"/>
          <w:lang w:eastAsia="zh-CN"/>
        </w:rPr>
        <w:t>编制</w:t>
      </w:r>
      <w:r>
        <w:rPr>
          <w:rFonts w:hint="eastAsia" w:ascii="仿宋_GB2312" w:hAnsi="仿宋_GB2312" w:eastAsia="仿宋_GB2312" w:cs="仿宋_GB2312"/>
          <w:sz w:val="32"/>
          <w:szCs w:val="32"/>
        </w:rPr>
        <w:t>实施中，依法依规遵守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执行城乡规划相关法律法规、技术标准和其他规定的</w:t>
      </w:r>
      <w:r>
        <w:rPr>
          <w:rFonts w:hint="eastAsia" w:ascii="仿宋_GB2312" w:hAnsi="仿宋_GB2312" w:eastAsia="仿宋_GB2312" w:cs="仿宋_GB2312"/>
          <w:sz w:val="32"/>
          <w:szCs w:val="32"/>
          <w:lang w:eastAsia="zh-CN"/>
        </w:rPr>
        <w:t>信用行为，无违法失信行为。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lang w:val="en-US" w:eastAsia="zh-CN"/>
        </w:rPr>
        <w:t>B级信用，指</w:t>
      </w:r>
      <w:r>
        <w:rPr>
          <w:rFonts w:hint="eastAsia" w:ascii="仿宋_GB2312" w:hAnsi="仿宋_GB2312" w:eastAsia="仿宋_GB2312" w:cs="仿宋_GB2312"/>
          <w:sz w:val="32"/>
          <w:szCs w:val="32"/>
        </w:rPr>
        <w:t>市场主体有下列一般失信行为情形之一的：</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1.违反《中华人民共和国城乡规划法》、《山东省城乡规划条例》的规定，依据</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山东省自然资源</w:t>
      </w:r>
      <w:r>
        <w:rPr>
          <w:rFonts w:hint="eastAsia" w:ascii="仿宋_GB2312" w:hAnsi="仿宋_GB2312" w:eastAsia="仿宋_GB2312" w:cs="仿宋_GB2312"/>
          <w:color w:val="auto"/>
          <w:sz w:val="32"/>
          <w:szCs w:val="32"/>
        </w:rPr>
        <w:t>行政处罚裁量基准》</w:t>
      </w:r>
      <w:r>
        <w:rPr>
          <w:rFonts w:hint="eastAsia" w:ascii="仿宋_GB2312" w:hAnsi="仿宋_GB2312" w:eastAsia="仿宋_GB2312" w:cs="仿宋_GB2312"/>
          <w:color w:val="auto"/>
          <w:sz w:val="32"/>
          <w:szCs w:val="32"/>
          <w:lang w:eastAsia="zh-CN"/>
        </w:rPr>
        <w:t>，一年内发生</w:t>
      </w:r>
      <w:r>
        <w:rPr>
          <w:rFonts w:hint="eastAsia" w:ascii="仿宋_GB2312" w:hAnsi="仿宋_GB2312" w:eastAsia="仿宋_GB2312" w:cs="仿宋_GB2312"/>
          <w:color w:val="auto"/>
          <w:sz w:val="32"/>
          <w:szCs w:val="32"/>
          <w:lang w:val="en-US" w:eastAsia="zh-CN"/>
        </w:rPr>
        <w:t>违法程度为一般、较重的违法行为2次以下，且罚没金额累计不超过20万元的；</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2.市场主体有违反城乡规划公开公示有关规定的行为，经责令限期改正后消除不良影响的，一年内发生1次以上的行为；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3.市场主体应对其提报材料的真实性、设计成果的合规性负责，并应以书面形式对报送的规划设计方案的真实性及合规性进行承诺。未履行承诺，经责令限期改正后消除不良影响的，一年内发生1次以上的行为。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 C级信用,指</w:t>
      </w:r>
      <w:r>
        <w:rPr>
          <w:rFonts w:hint="eastAsia" w:ascii="仿宋_GB2312" w:hAnsi="仿宋_GB2312" w:eastAsia="仿宋_GB2312" w:cs="仿宋_GB2312"/>
          <w:sz w:val="32"/>
          <w:szCs w:val="32"/>
          <w:lang w:eastAsia="zh-CN"/>
        </w:rPr>
        <w:t>市场主体有下列较重</w:t>
      </w:r>
      <w:r>
        <w:rPr>
          <w:rFonts w:hint="eastAsia" w:ascii="仿宋_GB2312" w:hAnsi="仿宋_GB2312" w:eastAsia="仿宋_GB2312" w:cs="仿宋_GB2312"/>
          <w:sz w:val="32"/>
          <w:szCs w:val="32"/>
          <w:lang w:val="en-US" w:eastAsia="zh-CN"/>
        </w:rPr>
        <w:t>失信行为之一的：</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color w:val="auto"/>
          <w:sz w:val="32"/>
          <w:szCs w:val="32"/>
          <w:lang w:val="en-US" w:eastAsia="zh-CN"/>
        </w:rPr>
        <w:t>违反《中华人民共和国城乡规划法》、《山东省城乡规划条例》的规定，依据</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山东省自然资源</w:t>
      </w:r>
      <w:r>
        <w:rPr>
          <w:rFonts w:hint="eastAsia" w:ascii="仿宋_GB2312" w:hAnsi="仿宋_GB2312" w:eastAsia="仿宋_GB2312" w:cs="仿宋_GB2312"/>
          <w:color w:val="auto"/>
          <w:sz w:val="32"/>
          <w:szCs w:val="32"/>
        </w:rPr>
        <w:t>行政处罚裁量基准》</w:t>
      </w:r>
      <w:r>
        <w:rPr>
          <w:rFonts w:hint="eastAsia" w:ascii="仿宋_GB2312" w:hAnsi="仿宋_GB2312" w:eastAsia="仿宋_GB2312" w:cs="仿宋_GB2312"/>
          <w:color w:val="auto"/>
          <w:sz w:val="32"/>
          <w:szCs w:val="32"/>
          <w:lang w:eastAsia="zh-CN"/>
        </w:rPr>
        <w:t>，一年内发生</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次</w:t>
      </w:r>
      <w:r>
        <w:rPr>
          <w:rFonts w:hint="eastAsia" w:ascii="仿宋_GB2312" w:hAnsi="仿宋_GB2312" w:eastAsia="仿宋_GB2312" w:cs="仿宋_GB2312"/>
          <w:color w:val="auto"/>
          <w:sz w:val="32"/>
          <w:szCs w:val="32"/>
          <w:lang w:val="en-US" w:eastAsia="zh-CN"/>
        </w:rPr>
        <w:t>违法程度为一般、较重的违法行为或2次以下违法程度为严重的违法行为或者罚款金额累计超过20万元的行为；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2.市场主体有违反城乡规划公开公示有关规定的行为，经责令</w:t>
      </w:r>
      <w:r>
        <w:rPr>
          <w:rFonts w:hint="eastAsia" w:ascii="仿宋_GB2312" w:hAnsi="仿宋_GB2312" w:eastAsia="仿宋_GB2312" w:cs="仿宋_GB2312"/>
          <w:color w:val="auto"/>
          <w:sz w:val="32"/>
          <w:szCs w:val="32"/>
          <w:highlight w:val="none"/>
          <w:lang w:val="en-US" w:eastAsia="zh-CN"/>
        </w:rPr>
        <w:t>限期改正逾期未改或整改不到位的，</w:t>
      </w:r>
      <w:r>
        <w:rPr>
          <w:rFonts w:hint="eastAsia" w:ascii="仿宋_GB2312" w:hAnsi="仿宋_GB2312" w:eastAsia="仿宋_GB2312" w:cs="仿宋_GB2312"/>
          <w:color w:val="auto"/>
          <w:sz w:val="32"/>
          <w:szCs w:val="32"/>
          <w:lang w:val="en-US" w:eastAsia="zh-CN"/>
        </w:rPr>
        <w:t>一年内发生1次以上的行为；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3.市场主体应对其提报材料的真实性、设计成果的合规性负责，并应以书面形式对报送的规划设计方案的真实性及合规性进行承诺。未履行承诺，经责令限期改正逾期未改或整改不到位的，一年内发生1次以上的行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（四）D级失信，指</w:t>
      </w:r>
      <w:r>
        <w:rPr>
          <w:rFonts w:hint="eastAsia" w:ascii="仿宋_GB2312" w:hAnsi="仿宋_GB2312" w:eastAsia="仿宋_GB2312" w:cs="仿宋_GB2312"/>
          <w:sz w:val="32"/>
          <w:szCs w:val="32"/>
          <w:lang w:eastAsia="zh-CN"/>
        </w:rPr>
        <w:t>市场主体有下列严重</w:t>
      </w:r>
      <w:r>
        <w:rPr>
          <w:rFonts w:hint="eastAsia" w:ascii="仿宋_GB2312" w:hAnsi="仿宋_GB2312" w:eastAsia="仿宋_GB2312" w:cs="仿宋_GB2312"/>
          <w:sz w:val="32"/>
          <w:szCs w:val="32"/>
          <w:lang w:val="en-US" w:eastAsia="zh-CN"/>
        </w:rPr>
        <w:t>失信行为之一的：</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市场主体被列入联合惩戒名单的；</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outlineLvl w:val="9"/>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2.违反《中华人民共和国城乡规划法》、《山东省城乡规划条例》的规定，依据</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eastAsia="zh-CN"/>
        </w:rPr>
        <w:t>山东省自然资源</w:t>
      </w:r>
      <w:r>
        <w:rPr>
          <w:rFonts w:hint="eastAsia" w:ascii="仿宋_GB2312" w:hAnsi="仿宋_GB2312" w:eastAsia="仿宋_GB2312" w:cs="仿宋_GB2312"/>
          <w:color w:val="auto"/>
          <w:sz w:val="32"/>
          <w:szCs w:val="32"/>
        </w:rPr>
        <w:t>行政处罚裁量基准》</w:t>
      </w:r>
      <w:r>
        <w:rPr>
          <w:rFonts w:hint="eastAsia" w:ascii="仿宋_GB2312" w:hAnsi="仿宋_GB2312" w:eastAsia="仿宋_GB2312" w:cs="仿宋_GB2312"/>
          <w:color w:val="auto"/>
          <w:sz w:val="32"/>
          <w:szCs w:val="32"/>
          <w:lang w:eastAsia="zh-CN"/>
        </w:rPr>
        <w:t>，一年内发生</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次以上</w:t>
      </w:r>
      <w:r>
        <w:rPr>
          <w:rFonts w:hint="eastAsia" w:ascii="仿宋_GB2312" w:hAnsi="仿宋_GB2312" w:eastAsia="仿宋_GB2312" w:cs="仿宋_GB2312"/>
          <w:color w:val="auto"/>
          <w:sz w:val="32"/>
          <w:szCs w:val="32"/>
          <w:lang w:val="en-US" w:eastAsia="zh-CN"/>
        </w:rPr>
        <w:t>违法程度为一般、较重的违法行为或</w:t>
      </w:r>
      <w:r>
        <w:rPr>
          <w:rFonts w:hint="eastAsia" w:ascii="仿宋_GB2312" w:hAnsi="仿宋_GB2312" w:eastAsia="仿宋_GB2312" w:cs="仿宋_GB2312"/>
          <w:color w:val="auto"/>
          <w:sz w:val="32"/>
          <w:szCs w:val="32"/>
          <w:lang w:eastAsia="zh-CN"/>
        </w:rPr>
        <w:t>一年内发生</w:t>
      </w:r>
      <w:r>
        <w:rPr>
          <w:rFonts w:hint="eastAsia" w:ascii="仿宋_GB2312" w:hAnsi="仿宋_GB2312" w:eastAsia="仿宋_GB2312" w:cs="仿宋_GB2312"/>
          <w:color w:val="auto"/>
          <w:sz w:val="32"/>
          <w:szCs w:val="32"/>
          <w:lang w:val="en-US" w:eastAsia="zh-CN"/>
        </w:rPr>
        <w:t>2次以上违法程度为严重的违法行为。</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楷体_GB2312" w:hAnsi="楷体_GB2312" w:eastAsia="楷体_GB2312" w:cs="楷体_GB2312"/>
          <w:b/>
          <w:bCs/>
          <w:sz w:val="32"/>
          <w:szCs w:val="32"/>
        </w:rPr>
      </w:pPr>
      <w:r>
        <w:rPr>
          <w:rFonts w:hint="eastAsia" w:ascii="仿宋_GB2312" w:hAnsi="仿宋_GB2312" w:eastAsia="仿宋_GB2312" w:cs="仿宋_GB2312"/>
          <w:color w:val="auto"/>
          <w:sz w:val="32"/>
          <w:szCs w:val="32"/>
          <w:lang w:val="en-US" w:eastAsia="zh-CN"/>
        </w:rPr>
        <w:t>3.市场主体应对其提报材料的真实性、设计成果的合规性负责，并应以书面形式对报送的规划设计方案的真实性及合规性进行承诺。未履行承诺且造成严重影响的行为。</w:t>
      </w:r>
    </w:p>
    <w:p>
      <w:pPr>
        <w:keepNext w:val="0"/>
        <w:keepLines w:val="0"/>
        <w:pageBreakBefore w:val="0"/>
        <w:widowControl w:val="0"/>
        <w:kinsoku/>
        <w:wordWrap/>
        <w:overflowPunct/>
        <w:topLinePunct w:val="0"/>
        <w:autoSpaceDE/>
        <w:autoSpaceDN/>
        <w:bidi w:val="0"/>
        <w:adjustRightInd/>
        <w:spacing w:line="520" w:lineRule="exact"/>
        <w:ind w:firstLine="640" w:firstLineChars="20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rPr>
        <w:t>第</w:t>
      </w:r>
      <w:r>
        <w:rPr>
          <w:rFonts w:hint="eastAsia" w:ascii="黑体" w:hAnsi="黑体" w:eastAsia="黑体" w:cs="黑体"/>
          <w:b w:val="0"/>
          <w:bCs w:val="0"/>
          <w:sz w:val="32"/>
          <w:szCs w:val="32"/>
          <w:lang w:eastAsia="zh-CN"/>
        </w:rPr>
        <w:t>三章</w:t>
      </w:r>
      <w:r>
        <w:rPr>
          <w:rFonts w:hint="eastAsia" w:ascii="黑体" w:hAnsi="黑体" w:eastAsia="黑体" w:cs="黑体"/>
          <w:b w:val="0"/>
          <w:bCs w:val="0"/>
          <w:sz w:val="32"/>
          <w:szCs w:val="32"/>
          <w:lang w:val="en-US" w:eastAsia="zh-CN"/>
        </w:rPr>
        <w:t xml:space="preserve">  信息的采集、异议、公示、修复</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eastAsia="zh-CN"/>
        </w:rPr>
        <w:t>第八条</w:t>
      </w:r>
      <w:r>
        <w:rPr>
          <w:rFonts w:hint="eastAsia" w:ascii="仿宋_GB2312" w:hAnsi="仿宋_GB2312" w:eastAsia="仿宋_GB2312" w:cs="仿宋_GB2312"/>
          <w:sz w:val="32"/>
          <w:szCs w:val="32"/>
          <w:lang w:val="en-US" w:eastAsia="zh-CN"/>
        </w:rPr>
        <w:t xml:space="preserve">  信息采集。</w:t>
      </w:r>
      <w:r>
        <w:rPr>
          <w:rFonts w:hint="eastAsia" w:ascii="仿宋_GB2312" w:hAnsi="仿宋_GB2312" w:eastAsia="仿宋_GB2312" w:cs="仿宋_GB2312"/>
          <w:sz w:val="32"/>
          <w:szCs w:val="32"/>
          <w:lang w:eastAsia="zh-CN"/>
        </w:rPr>
        <w:t>失信信息按照“谁监管、谁采集”“谁处理（罚）、谁采集”的原则进行采集。</w:t>
      </w:r>
      <w:r>
        <w:rPr>
          <w:rFonts w:hint="eastAsia" w:ascii="仿宋_GB2312" w:hAnsi="仿宋_GB2312" w:eastAsia="仿宋_GB2312" w:cs="仿宋_GB2312"/>
          <w:sz w:val="32"/>
          <w:szCs w:val="32"/>
          <w:lang w:val="en-US" w:eastAsia="zh-CN"/>
        </w:rPr>
        <w:t>信息采集方式主要有以下四种</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（一）行政处罚无异议或异议不成立的信用信息；</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eastAsia="zh-CN"/>
        </w:rPr>
      </w:pPr>
      <w:r>
        <w:rPr>
          <w:rFonts w:hint="eastAsia" w:ascii="仿宋_GB2312" w:hAnsi="仿宋_GB2312" w:eastAsia="仿宋_GB2312" w:cs="仿宋_GB2312"/>
          <w:color w:val="auto"/>
          <w:sz w:val="32"/>
          <w:szCs w:val="32"/>
          <w:lang w:val="en-US" w:eastAsia="zh-CN"/>
        </w:rPr>
        <w:t>（二）</w:t>
      </w:r>
      <w:r>
        <w:rPr>
          <w:rFonts w:hint="eastAsia" w:ascii="仿宋_GB2312" w:hAnsi="仿宋_GB2312" w:eastAsia="仿宋_GB2312" w:cs="仿宋_GB2312"/>
          <w:color w:val="auto"/>
          <w:sz w:val="32"/>
          <w:szCs w:val="32"/>
          <w:lang w:eastAsia="zh-CN"/>
        </w:rPr>
        <w:t>对各自职责范围内的抽查、专项检查</w:t>
      </w:r>
      <w:r>
        <w:rPr>
          <w:rFonts w:hint="eastAsia" w:ascii="仿宋_GB2312" w:hAnsi="仿宋_GB2312" w:eastAsia="仿宋_GB2312" w:cs="仿宋_GB2312"/>
          <w:color w:val="auto"/>
          <w:sz w:val="32"/>
          <w:szCs w:val="32"/>
        </w:rPr>
        <w:t>的信用信息</w:t>
      </w:r>
      <w:r>
        <w:rPr>
          <w:rFonts w:hint="eastAsia" w:ascii="仿宋_GB2312" w:hAnsi="仿宋_GB2312" w:eastAsia="仿宋_GB2312" w:cs="仿宋_GB2312"/>
          <w:color w:val="auto"/>
          <w:sz w:val="32"/>
          <w:szCs w:val="32"/>
          <w:lang w:eastAsia="zh-CN"/>
        </w:rPr>
        <w:t>采集、认定；</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（三）</w:t>
      </w:r>
      <w:r>
        <w:rPr>
          <w:rFonts w:hint="eastAsia" w:ascii="仿宋_GB2312" w:hAnsi="仿宋_GB2312" w:eastAsia="仿宋_GB2312" w:cs="仿宋_GB2312"/>
          <w:color w:val="auto"/>
          <w:sz w:val="32"/>
          <w:szCs w:val="32"/>
          <w:lang w:val="en-US" w:eastAsia="zh-CN"/>
        </w:rPr>
        <w:t>市场主体被举报、信访、投诉违反矿产资源、城乡规划及其他法律法规的，经主管部门或者其他部门调查属实的；</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（四）行政强制、行政处罚、法院判决。</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320" w:firstLineChars="100"/>
        <w:textAlignment w:val="auto"/>
        <w:rPr>
          <w:rFonts w:hint="eastAsia" w:ascii="仿宋_GB2312" w:hAnsi="仿宋_GB2312" w:eastAsia="仿宋_GB2312" w:cs="仿宋_GB2312"/>
          <w:sz w:val="32"/>
          <w:szCs w:val="32"/>
          <w:lang w:val="en-US" w:eastAsia="zh-CN"/>
        </w:rPr>
      </w:pPr>
      <w:r>
        <w:rPr>
          <w:rFonts w:hint="eastAsia" w:ascii="Times New Roman" w:hAnsi="Times New Roman" w:eastAsia="仿宋_GB2312" w:cs="Times New Roman"/>
          <w:color w:val="000000"/>
          <w:sz w:val="32"/>
          <w:szCs w:val="32"/>
          <w:lang w:val="en-US" w:eastAsia="zh-CN"/>
        </w:rPr>
        <w:t xml:space="preserve">  第九条</w:t>
      </w:r>
      <w:r>
        <w:rPr>
          <w:rFonts w:hint="eastAsia" w:ascii="仿宋_GB2312" w:hAnsi="仿宋_GB2312" w:eastAsia="仿宋_GB2312" w:cs="仿宋_GB2312"/>
          <w:sz w:val="32"/>
          <w:szCs w:val="32"/>
          <w:lang w:val="en-US" w:eastAsia="zh-CN"/>
        </w:rPr>
        <w:t xml:space="preserve">  </w:t>
      </w:r>
      <w:r>
        <w:rPr>
          <w:rFonts w:hint="eastAsia" w:ascii="Times New Roman" w:hAnsi="Times New Roman" w:eastAsia="仿宋_GB2312" w:cs="Times New Roman"/>
          <w:color w:val="000000"/>
          <w:sz w:val="32"/>
          <w:szCs w:val="32"/>
          <w:lang w:val="en-US" w:eastAsia="zh-CN"/>
        </w:rPr>
        <w:t>承办单位收集到信用信息后，按照信用分级认定标准，提出认定意见，附认定理由和依据，经局办公会审查认定信用等级，向市场主体送达《拟纳入失信（异常）名单告知书》，市场主体应于收到告知书之日起5个工作日内提出异议，逾期视为无异议。对</w:t>
      </w:r>
      <w:r>
        <w:rPr>
          <w:rFonts w:hint="eastAsia" w:ascii="Times New Roman" w:hAnsi="Times New Roman" w:eastAsia="仿宋_GB2312" w:cs="Times New Roman"/>
          <w:b w:val="0"/>
          <w:bCs w:val="0"/>
          <w:color w:val="000000"/>
          <w:sz w:val="32"/>
          <w:szCs w:val="32"/>
          <w:lang w:val="en-US" w:eastAsia="zh-CN"/>
        </w:rPr>
        <w:t>无异议或者异议不成立的信用信息，依法</w:t>
      </w:r>
      <w:r>
        <w:rPr>
          <w:rFonts w:hint="eastAsia" w:ascii="Times New Roman" w:hAnsi="Times New Roman" w:eastAsia="仿宋_GB2312" w:cs="Times New Roman"/>
          <w:color w:val="000000"/>
          <w:sz w:val="32"/>
          <w:szCs w:val="32"/>
          <w:lang w:val="en-US" w:eastAsia="zh-CN"/>
        </w:rPr>
        <w:t>向</w:t>
      </w:r>
      <w:r>
        <w:rPr>
          <w:rFonts w:hint="eastAsia" w:ascii="仿宋_GB2312" w:hAnsi="仿宋_GB2312" w:eastAsia="仿宋_GB2312" w:cs="仿宋_GB2312"/>
          <w:sz w:val="32"/>
          <w:szCs w:val="32"/>
          <w:lang w:val="en-US" w:eastAsia="zh-CN"/>
        </w:rPr>
        <w:t>市场主体送达《纳入失信（异常）名单告知书》。</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i w:val="0"/>
          <w:caps w:val="0"/>
          <w:color w:val="auto"/>
          <w:spacing w:val="0"/>
          <w:sz w:val="32"/>
          <w:szCs w:val="32"/>
          <w:shd w:val="clear" w:fill="FFFFFF"/>
        </w:rPr>
      </w:pPr>
      <w:r>
        <w:rPr>
          <w:rFonts w:hint="eastAsia" w:ascii="Times New Roman" w:hAnsi="Times New Roman" w:eastAsia="仿宋_GB2312" w:cs="Times New Roman"/>
          <w:b w:val="0"/>
          <w:bCs w:val="0"/>
          <w:color w:val="000000"/>
          <w:sz w:val="32"/>
          <w:szCs w:val="32"/>
          <w:lang w:val="en-US" w:eastAsia="zh-CN"/>
        </w:rPr>
        <w:t>第十条</w:t>
      </w:r>
      <w:r>
        <w:rPr>
          <w:rFonts w:hint="eastAsia" w:ascii="Times New Roman" w:hAnsi="Times New Roman" w:eastAsia="仿宋_GB2312" w:cs="Times New Roman"/>
          <w:b/>
          <w:bCs/>
          <w:color w:val="000000"/>
          <w:sz w:val="32"/>
          <w:szCs w:val="32"/>
          <w:lang w:val="en-US" w:eastAsia="zh-CN"/>
        </w:rPr>
        <w:t xml:space="preserve"> </w:t>
      </w:r>
      <w:r>
        <w:rPr>
          <w:rFonts w:hint="eastAsia" w:ascii="Times New Roman" w:hAnsi="Times New Roman" w:eastAsia="仿宋_GB2312" w:cs="Times New Roman"/>
          <w:b w:val="0"/>
          <w:bCs w:val="0"/>
          <w:color w:val="000000"/>
          <w:sz w:val="32"/>
          <w:szCs w:val="32"/>
          <w:lang w:val="en-US" w:eastAsia="zh-CN"/>
        </w:rPr>
        <w:t xml:space="preserve"> 承办单位应自</w:t>
      </w:r>
      <w:r>
        <w:rPr>
          <w:rFonts w:hint="eastAsia" w:ascii="仿宋_GB2312" w:hAnsi="仿宋_GB2312" w:eastAsia="仿宋_GB2312" w:cs="仿宋_GB2312"/>
          <w:sz w:val="32"/>
          <w:szCs w:val="32"/>
          <w:lang w:val="en-US" w:eastAsia="zh-CN"/>
        </w:rPr>
        <w:t>《纳入失信（异常）名单告知书》作出之日起</w:t>
      </w:r>
      <w:r>
        <w:rPr>
          <w:rFonts w:hint="eastAsia" w:ascii="Times New Roman" w:hAnsi="Times New Roman" w:eastAsia="仿宋_GB2312" w:cs="Times New Roman"/>
          <w:color w:val="000000"/>
          <w:sz w:val="32"/>
          <w:szCs w:val="32"/>
          <w:lang w:val="en-US" w:eastAsia="zh-CN"/>
        </w:rPr>
        <w:t>7个工作日内，将信用分级分类认定情况</w:t>
      </w:r>
      <w:r>
        <w:rPr>
          <w:rFonts w:hint="eastAsia" w:ascii="Times New Roman" w:hAnsi="Times New Roman" w:eastAsia="仿宋_GB2312" w:cs="Times New Roman"/>
          <w:b w:val="0"/>
          <w:bCs w:val="0"/>
          <w:color w:val="000000"/>
          <w:sz w:val="32"/>
          <w:szCs w:val="32"/>
          <w:lang w:val="en-US" w:eastAsia="zh-CN"/>
        </w:rPr>
        <w:t>报送市信用中心并</w:t>
      </w:r>
      <w:r>
        <w:rPr>
          <w:rFonts w:hint="eastAsia" w:ascii="Times New Roman" w:hAnsi="Times New Roman" w:eastAsia="仿宋_GB2312" w:cs="Times New Roman"/>
          <w:color w:val="000000"/>
          <w:sz w:val="32"/>
          <w:szCs w:val="32"/>
          <w:lang w:val="en-US" w:eastAsia="zh-CN"/>
        </w:rPr>
        <w:t>上传威海市公共信用信息平台公示，</w:t>
      </w:r>
      <w:r>
        <w:rPr>
          <w:rFonts w:hint="eastAsia" w:ascii="仿宋_GB2312" w:hAnsi="仿宋_GB2312" w:eastAsia="仿宋_GB2312" w:cs="仿宋_GB2312"/>
          <w:i w:val="0"/>
          <w:caps w:val="0"/>
          <w:color w:val="auto"/>
          <w:spacing w:val="0"/>
          <w:sz w:val="32"/>
          <w:szCs w:val="32"/>
          <w:shd w:val="clear" w:fill="FFFFFF"/>
          <w:lang w:val="en-US" w:eastAsia="zh-CN"/>
        </w:rPr>
        <w:t>B级信用的市场主体公示</w:t>
      </w:r>
      <w:r>
        <w:rPr>
          <w:rFonts w:hint="eastAsia" w:ascii="仿宋_GB2312" w:hAnsi="仿宋_GB2312" w:eastAsia="仿宋_GB2312" w:cs="仿宋_GB2312"/>
          <w:i w:val="0"/>
          <w:caps w:val="0"/>
          <w:color w:val="auto"/>
          <w:spacing w:val="0"/>
          <w:sz w:val="32"/>
          <w:szCs w:val="32"/>
          <w:shd w:val="clear" w:fill="FFFFFF"/>
        </w:rPr>
        <w:t>期限为一年，</w:t>
      </w:r>
      <w:r>
        <w:rPr>
          <w:rFonts w:hint="eastAsia" w:ascii="仿宋_GB2312" w:hAnsi="仿宋_GB2312" w:eastAsia="仿宋_GB2312" w:cs="仿宋_GB2312"/>
          <w:i w:val="0"/>
          <w:caps w:val="0"/>
          <w:color w:val="auto"/>
          <w:spacing w:val="0"/>
          <w:sz w:val="32"/>
          <w:szCs w:val="32"/>
          <w:shd w:val="clear" w:fill="FFFFFF"/>
          <w:lang w:val="en-US" w:eastAsia="zh-CN"/>
        </w:rPr>
        <w:t>C级信用的市场主体公示</w:t>
      </w:r>
      <w:r>
        <w:rPr>
          <w:rFonts w:hint="eastAsia" w:ascii="仿宋_GB2312" w:hAnsi="仿宋_GB2312" w:eastAsia="仿宋_GB2312" w:cs="仿宋_GB2312"/>
          <w:i w:val="0"/>
          <w:caps w:val="0"/>
          <w:color w:val="auto"/>
          <w:spacing w:val="0"/>
          <w:sz w:val="32"/>
          <w:szCs w:val="32"/>
          <w:shd w:val="clear" w:fill="FFFFFF"/>
        </w:rPr>
        <w:t>期限为</w:t>
      </w:r>
      <w:r>
        <w:rPr>
          <w:rFonts w:hint="eastAsia" w:ascii="仿宋_GB2312" w:hAnsi="仿宋_GB2312" w:eastAsia="仿宋_GB2312" w:cs="仿宋_GB2312"/>
          <w:i w:val="0"/>
          <w:caps w:val="0"/>
          <w:color w:val="auto"/>
          <w:spacing w:val="0"/>
          <w:sz w:val="32"/>
          <w:szCs w:val="32"/>
          <w:shd w:val="clear" w:fill="FFFFFF"/>
          <w:lang w:eastAsia="zh-CN"/>
        </w:rPr>
        <w:t>二</w:t>
      </w:r>
      <w:r>
        <w:rPr>
          <w:rFonts w:hint="eastAsia" w:ascii="仿宋_GB2312" w:hAnsi="仿宋_GB2312" w:eastAsia="仿宋_GB2312" w:cs="仿宋_GB2312"/>
          <w:i w:val="0"/>
          <w:caps w:val="0"/>
          <w:color w:val="auto"/>
          <w:spacing w:val="0"/>
          <w:sz w:val="32"/>
          <w:szCs w:val="32"/>
          <w:shd w:val="clear" w:fill="FFFFFF"/>
        </w:rPr>
        <w:t>年</w:t>
      </w:r>
      <w:r>
        <w:rPr>
          <w:rFonts w:hint="eastAsia" w:ascii="仿宋_GB2312" w:hAnsi="仿宋_GB2312" w:eastAsia="仿宋_GB2312" w:cs="仿宋_GB2312"/>
          <w:i w:val="0"/>
          <w:caps w:val="0"/>
          <w:color w:val="auto"/>
          <w:spacing w:val="0"/>
          <w:sz w:val="32"/>
          <w:szCs w:val="32"/>
          <w:shd w:val="clear" w:fill="FFFFFF"/>
          <w:lang w:eastAsia="zh-CN"/>
        </w:rPr>
        <w:t>，</w:t>
      </w:r>
      <w:r>
        <w:rPr>
          <w:rFonts w:hint="eastAsia" w:ascii="仿宋_GB2312" w:hAnsi="仿宋_GB2312" w:eastAsia="仿宋_GB2312" w:cs="仿宋_GB2312"/>
          <w:i w:val="0"/>
          <w:caps w:val="0"/>
          <w:color w:val="auto"/>
          <w:spacing w:val="0"/>
          <w:sz w:val="32"/>
          <w:szCs w:val="32"/>
          <w:shd w:val="clear" w:fill="FFFFFF"/>
          <w:lang w:val="en-US" w:eastAsia="zh-CN"/>
        </w:rPr>
        <w:t>D级</w:t>
      </w:r>
      <w:r>
        <w:rPr>
          <w:rFonts w:hint="eastAsia" w:ascii="仿宋_GB2312" w:hAnsi="仿宋_GB2312" w:eastAsia="仿宋_GB2312" w:cs="仿宋_GB2312"/>
          <w:i w:val="0"/>
          <w:caps w:val="0"/>
          <w:color w:val="auto"/>
          <w:spacing w:val="0"/>
          <w:sz w:val="32"/>
          <w:szCs w:val="32"/>
          <w:shd w:val="clear" w:fill="FFFFFF"/>
        </w:rPr>
        <w:t>严重失信</w:t>
      </w:r>
      <w:r>
        <w:rPr>
          <w:rFonts w:hint="eastAsia" w:ascii="仿宋_GB2312" w:hAnsi="仿宋_GB2312" w:eastAsia="仿宋_GB2312" w:cs="仿宋_GB2312"/>
          <w:i w:val="0"/>
          <w:caps w:val="0"/>
          <w:color w:val="auto"/>
          <w:spacing w:val="0"/>
          <w:sz w:val="32"/>
          <w:szCs w:val="32"/>
          <w:shd w:val="clear" w:fill="FFFFFF"/>
          <w:lang w:eastAsia="zh-CN"/>
        </w:rPr>
        <w:t>市场主体</w:t>
      </w:r>
      <w:r>
        <w:rPr>
          <w:rFonts w:hint="eastAsia" w:ascii="仿宋_GB2312" w:hAnsi="仿宋_GB2312" w:eastAsia="仿宋_GB2312" w:cs="仿宋_GB2312"/>
          <w:i w:val="0"/>
          <w:caps w:val="0"/>
          <w:color w:val="auto"/>
          <w:spacing w:val="0"/>
          <w:sz w:val="32"/>
          <w:szCs w:val="32"/>
          <w:shd w:val="clear" w:fill="FFFFFF"/>
        </w:rPr>
        <w:t>公示期限为三年。法律、法规、规章另有相关规定的，从其规定。公示期限届满的，应不再对外公示。</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val="0"/>
          <w:bCs w:val="0"/>
          <w:sz w:val="32"/>
          <w:szCs w:val="32"/>
          <w:lang w:eastAsia="zh-CN"/>
        </w:rPr>
        <w:t>第十一条</w:t>
      </w:r>
      <w:r>
        <w:rPr>
          <w:rFonts w:hint="eastAsia" w:ascii="仿宋_GB2312" w:hAnsi="仿宋_GB2312" w:eastAsia="仿宋_GB2312" w:cs="仿宋_GB2312"/>
          <w:sz w:val="32"/>
          <w:szCs w:val="32"/>
          <w:lang w:val="en-US" w:eastAsia="zh-CN"/>
        </w:rPr>
        <w:t xml:space="preserve">  信用修复。被列入失信信息名单的</w:t>
      </w:r>
      <w:r>
        <w:rPr>
          <w:rFonts w:hint="eastAsia" w:ascii="仿宋_GB2312" w:hAnsi="仿宋_GB2312" w:eastAsia="仿宋_GB2312" w:cs="仿宋_GB2312"/>
          <w:sz w:val="32"/>
          <w:szCs w:val="32"/>
          <w:lang w:eastAsia="zh-CN"/>
        </w:rPr>
        <w:t>市场主体</w:t>
      </w:r>
      <w:r>
        <w:rPr>
          <w:rFonts w:hint="eastAsia" w:ascii="仿宋_GB2312" w:hAnsi="仿宋_GB2312" w:eastAsia="仿宋_GB2312" w:cs="仿宋_GB2312"/>
          <w:sz w:val="32"/>
          <w:szCs w:val="32"/>
          <w:lang w:val="en-US" w:eastAsia="zh-CN"/>
        </w:rPr>
        <w:t>，满足最低公示期3个月后，如在公示期内积极纠错，或按要求完成整改的，可以向承办单位提报书面证明材料申请信用修复，承办单位应于3个工作日内决定是否受理，并书面通知申请人。自决定受理之日起的5个工作日内进行核实，经核实</w:t>
      </w:r>
      <w:r>
        <w:rPr>
          <w:rFonts w:hint="eastAsia" w:ascii="仿宋_GB2312" w:hAnsi="仿宋_GB2312" w:eastAsia="仿宋_GB2312" w:cs="仿宋_GB2312"/>
          <w:sz w:val="32"/>
          <w:szCs w:val="32"/>
        </w:rPr>
        <w:t>符合提前移出条件的，</w:t>
      </w:r>
      <w:r>
        <w:rPr>
          <w:rFonts w:hint="eastAsia" w:ascii="仿宋_GB2312" w:hAnsi="仿宋_GB2312" w:eastAsia="仿宋_GB2312" w:cs="仿宋_GB2312"/>
          <w:sz w:val="32"/>
          <w:szCs w:val="32"/>
          <w:lang w:val="en-US" w:eastAsia="zh-CN"/>
        </w:rPr>
        <w:t>书面通知申请人和市信用中心。</w:t>
      </w:r>
      <w:r>
        <w:rPr>
          <w:rFonts w:hint="eastAsia" w:ascii="仿宋_GB2312" w:hAnsi="仿宋_GB2312" w:eastAsia="仿宋_GB2312" w:cs="仿宋_GB2312"/>
          <w:sz w:val="32"/>
          <w:szCs w:val="32"/>
        </w:rPr>
        <w:t>市信用中心按照</w:t>
      </w:r>
      <w:r>
        <w:rPr>
          <w:rFonts w:hint="eastAsia" w:ascii="仿宋_GB2312" w:hAnsi="仿宋_GB2312" w:eastAsia="仿宋_GB2312" w:cs="仿宋_GB2312"/>
          <w:sz w:val="32"/>
          <w:szCs w:val="32"/>
          <w:lang w:eastAsia="zh-CN"/>
        </w:rPr>
        <w:t>信息承办</w:t>
      </w:r>
      <w:r>
        <w:rPr>
          <w:rFonts w:hint="eastAsia" w:ascii="仿宋_GB2312" w:hAnsi="仿宋_GB2312" w:eastAsia="仿宋_GB2312" w:cs="仿宋_GB2312"/>
          <w:sz w:val="32"/>
          <w:szCs w:val="32"/>
        </w:rPr>
        <w:t>单位的决定，及时对失信信息进行修改。</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960" w:firstLineChars="30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第四章  奖惩措施</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val="0"/>
          <w:bCs w:val="0"/>
          <w:sz w:val="32"/>
          <w:szCs w:val="32"/>
          <w:lang w:val="en-US" w:eastAsia="zh-CN"/>
        </w:rPr>
        <w:t>第十二条</w:t>
      </w:r>
      <w:r>
        <w:rPr>
          <w:rFonts w:hint="eastAsia" w:ascii="仿宋_GB2312" w:hAnsi="仿宋_GB2312" w:eastAsia="仿宋_GB2312" w:cs="仿宋_GB2312"/>
          <w:sz w:val="32"/>
          <w:szCs w:val="32"/>
          <w:lang w:val="en-US" w:eastAsia="zh-CN"/>
        </w:rPr>
        <w:t>  对信用等级评为A级的市场主体，实施下列激励措施: (一)符合“红名单”标准的，公开发布守信“红名单”；</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(二)除投诉举报和专项执法检查外，免于日常巡查检查；</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(三)在办理行政许可过程中，可根据实际情况给予“容缺受理”和“绿色通道”等便利服务措施；</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(四)法律、法规、规章和规范性文件规定的其他激励措施。</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第十三条</w:t>
      </w:r>
      <w:r>
        <w:rPr>
          <w:rFonts w:hint="eastAsia" w:ascii="仿宋_GB2312" w:hAnsi="仿宋_GB2312" w:eastAsia="仿宋_GB2312" w:cs="仿宋_GB2312"/>
          <w:sz w:val="32"/>
          <w:szCs w:val="32"/>
          <w:lang w:val="en-US" w:eastAsia="zh-CN"/>
        </w:rPr>
        <w:t>  对信用等级评为B级的市场主体，实施下列</w:t>
      </w:r>
      <w:r>
        <w:rPr>
          <w:rFonts w:hint="eastAsia" w:ascii="仿宋_GB2312" w:hAnsi="仿宋_GB2312" w:eastAsia="仿宋_GB2312" w:cs="仿宋_GB2312"/>
          <w:sz w:val="32"/>
          <w:szCs w:val="32"/>
          <w:lang w:eastAsia="zh-CN"/>
        </w:rPr>
        <w:t>惩戒</w:t>
      </w:r>
      <w:r>
        <w:rPr>
          <w:rFonts w:hint="eastAsia" w:ascii="仿宋_GB2312" w:hAnsi="仿宋_GB2312" w:eastAsia="仿宋_GB2312" w:cs="仿宋_GB2312"/>
          <w:sz w:val="32"/>
          <w:szCs w:val="32"/>
        </w:rPr>
        <w:t>措施:</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(一)适当增加日常检查频次</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(二)加强对</w:t>
      </w:r>
      <w:r>
        <w:rPr>
          <w:rFonts w:hint="eastAsia" w:ascii="仿宋_GB2312" w:hAnsi="仿宋_GB2312" w:eastAsia="仿宋_GB2312" w:cs="仿宋_GB2312"/>
          <w:sz w:val="32"/>
          <w:szCs w:val="32"/>
          <w:lang w:eastAsia="zh-CN"/>
        </w:rPr>
        <w:t>市场主体</w:t>
      </w:r>
      <w:r>
        <w:rPr>
          <w:rFonts w:hint="eastAsia" w:ascii="仿宋_GB2312" w:hAnsi="仿宋_GB2312" w:eastAsia="仿宋_GB2312" w:cs="仿宋_GB2312"/>
          <w:sz w:val="32"/>
          <w:szCs w:val="32"/>
        </w:rPr>
        <w:t>的政策法规宣传、业务辅导等服务工作，帮助其提升依法执业水平</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(三)在办理行政许可过程中，可根据实际情况限制“容缺受理”和“绿色通道”等便利服务措施；</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)法律、法规、规章规定的其他管理措施。</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rPr>
        <w:t>第</w:t>
      </w:r>
      <w:r>
        <w:rPr>
          <w:rFonts w:hint="eastAsia" w:ascii="仿宋_GB2312" w:hAnsi="仿宋_GB2312" w:eastAsia="仿宋_GB2312" w:cs="仿宋_GB2312"/>
          <w:b w:val="0"/>
          <w:bCs w:val="0"/>
          <w:sz w:val="32"/>
          <w:szCs w:val="32"/>
          <w:lang w:eastAsia="zh-CN"/>
        </w:rPr>
        <w:t>十四</w:t>
      </w:r>
      <w:r>
        <w:rPr>
          <w:rFonts w:hint="eastAsia" w:ascii="仿宋_GB2312" w:hAnsi="仿宋_GB2312" w:eastAsia="仿宋_GB2312" w:cs="仿宋_GB2312"/>
          <w:b w:val="0"/>
          <w:bCs w:val="0"/>
          <w:sz w:val="32"/>
          <w:szCs w:val="32"/>
        </w:rPr>
        <w:t>条</w:t>
      </w:r>
      <w:r>
        <w:rPr>
          <w:rFonts w:hint="eastAsia" w:ascii="仿宋_GB2312" w:hAnsi="仿宋_GB2312" w:eastAsia="仿宋_GB2312" w:cs="仿宋_GB2312"/>
          <w:sz w:val="32"/>
          <w:szCs w:val="32"/>
        </w:rPr>
        <w:t>  对信用等级评为C级的</w:t>
      </w:r>
      <w:r>
        <w:rPr>
          <w:rFonts w:hint="eastAsia" w:ascii="仿宋_GB2312" w:hAnsi="仿宋_GB2312" w:eastAsia="仿宋_GB2312" w:cs="仿宋_GB2312"/>
          <w:sz w:val="32"/>
          <w:szCs w:val="32"/>
          <w:lang w:eastAsia="zh-CN"/>
        </w:rPr>
        <w:t>市场主体</w:t>
      </w:r>
      <w:r>
        <w:rPr>
          <w:rFonts w:hint="eastAsia" w:ascii="仿宋_GB2312" w:hAnsi="仿宋_GB2312" w:eastAsia="仿宋_GB2312" w:cs="仿宋_GB2312"/>
          <w:sz w:val="32"/>
          <w:szCs w:val="32"/>
        </w:rPr>
        <w:t>，实行下列惩戒措施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引导</w:t>
      </w:r>
      <w:r>
        <w:rPr>
          <w:rFonts w:hint="eastAsia" w:ascii="仿宋_GB2312" w:hAnsi="仿宋_GB2312" w:eastAsia="仿宋_GB2312" w:cs="仿宋_GB2312"/>
          <w:sz w:val="32"/>
          <w:szCs w:val="32"/>
          <w:lang w:eastAsia="zh-CN"/>
        </w:rPr>
        <w:t>市场主体</w:t>
      </w:r>
      <w:r>
        <w:rPr>
          <w:rFonts w:hint="eastAsia" w:ascii="仿宋_GB2312" w:hAnsi="仿宋_GB2312" w:eastAsia="仿宋_GB2312" w:cs="仿宋_GB2312"/>
          <w:sz w:val="32"/>
          <w:szCs w:val="32"/>
        </w:rPr>
        <w:t>增强法律意识，提高法律遵从度</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取消已经享受的绿色通道、容缺受理等行政便利措施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加大日常检查频次和随机抽查力度</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（四）列为重点监管对象，加强监管；</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法律、法规、规章规定的其他管理措施。</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sz w:val="32"/>
          <w:szCs w:val="32"/>
          <w:lang w:eastAsia="zh-CN"/>
        </w:rPr>
        <w:t>第十五条</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对信用等级评为</w:t>
      </w:r>
      <w:r>
        <w:rPr>
          <w:rFonts w:hint="eastAsia" w:ascii="仿宋_GB2312" w:hAnsi="仿宋_GB2312" w:eastAsia="仿宋_GB2312" w:cs="仿宋_GB2312"/>
          <w:sz w:val="32"/>
          <w:szCs w:val="32"/>
          <w:lang w:val="en-US" w:eastAsia="zh-CN"/>
        </w:rPr>
        <w:t>D</w:t>
      </w:r>
      <w:r>
        <w:rPr>
          <w:rFonts w:hint="eastAsia" w:ascii="仿宋_GB2312" w:hAnsi="仿宋_GB2312" w:eastAsia="仿宋_GB2312" w:cs="仿宋_GB2312"/>
          <w:sz w:val="32"/>
          <w:szCs w:val="32"/>
        </w:rPr>
        <w:t>级的</w:t>
      </w:r>
      <w:r>
        <w:rPr>
          <w:rFonts w:hint="eastAsia" w:ascii="仿宋_GB2312" w:hAnsi="仿宋_GB2312" w:eastAsia="仿宋_GB2312" w:cs="仿宋_GB2312"/>
          <w:sz w:val="32"/>
          <w:szCs w:val="32"/>
          <w:lang w:eastAsia="zh-CN"/>
        </w:rPr>
        <w:t>市场主体</w:t>
      </w:r>
      <w:r>
        <w:rPr>
          <w:rFonts w:hint="eastAsia" w:ascii="仿宋_GB2312" w:hAnsi="仿宋_GB2312" w:eastAsia="仿宋_GB2312" w:cs="仿宋_GB2312"/>
          <w:sz w:val="32"/>
          <w:szCs w:val="32"/>
        </w:rPr>
        <w:t>，实行下列惩戒措施</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从严审核行政许可审批项目</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（二）抽查比例不设上限，增加抽查内容，加大抽查力度和频次；</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（三）引导市场主体</w:t>
      </w:r>
      <w:r>
        <w:rPr>
          <w:rFonts w:hint="eastAsia" w:ascii="仿宋_GB2312" w:hAnsi="仿宋_GB2312" w:eastAsia="仿宋_GB2312" w:cs="仿宋_GB2312"/>
          <w:sz w:val="32"/>
          <w:szCs w:val="32"/>
        </w:rPr>
        <w:t>增强法律意识，提高法律遵从度;</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（四）对</w:t>
      </w:r>
      <w:r>
        <w:rPr>
          <w:rFonts w:hint="eastAsia" w:ascii="仿宋_GB2312" w:hAnsi="仿宋_GB2312" w:eastAsia="仿宋_GB2312" w:cs="仿宋_GB2312"/>
          <w:sz w:val="32"/>
          <w:szCs w:val="32"/>
          <w:lang w:eastAsia="zh-CN"/>
        </w:rPr>
        <w:t>市场主体的法定代表人或实际管理人员进行约谈；</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（五）纳入“失信异常名单”，增加曝光率；</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法律、法规、规章和规范性文件规定的其他管理措施。</w:t>
      </w:r>
    </w:p>
    <w:p>
      <w:pPr>
        <w:keepNext w:val="0"/>
        <w:keepLines w:val="0"/>
        <w:pageBreakBefore w:val="0"/>
        <w:widowControl w:val="0"/>
        <w:kinsoku/>
        <w:wordWrap/>
        <w:overflowPunct/>
        <w:topLinePunct w:val="0"/>
        <w:autoSpaceDE/>
        <w:autoSpaceDN/>
        <w:bidi w:val="0"/>
        <w:adjustRightInd/>
        <w:spacing w:line="52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val="0"/>
          <w:bCs w:val="0"/>
          <w:color w:val="auto"/>
          <w:sz w:val="32"/>
          <w:szCs w:val="32"/>
        </w:rPr>
        <w:t>第十</w:t>
      </w:r>
      <w:r>
        <w:rPr>
          <w:rFonts w:hint="eastAsia" w:ascii="仿宋_GB2312" w:hAnsi="仿宋_GB2312" w:eastAsia="仿宋_GB2312" w:cs="仿宋_GB2312"/>
          <w:b w:val="0"/>
          <w:bCs w:val="0"/>
          <w:color w:val="auto"/>
          <w:sz w:val="32"/>
          <w:szCs w:val="32"/>
          <w:lang w:eastAsia="zh-CN"/>
        </w:rPr>
        <w:t>六</w:t>
      </w:r>
      <w:r>
        <w:rPr>
          <w:rFonts w:hint="eastAsia" w:ascii="仿宋_GB2312" w:hAnsi="仿宋_GB2312" w:eastAsia="仿宋_GB2312" w:cs="仿宋_GB2312"/>
          <w:b w:val="0"/>
          <w:bCs w:val="0"/>
          <w:color w:val="auto"/>
          <w:sz w:val="32"/>
          <w:szCs w:val="32"/>
        </w:rPr>
        <w:t>条</w:t>
      </w:r>
      <w:r>
        <w:rPr>
          <w:rFonts w:hint="eastAsia" w:ascii="仿宋_GB2312" w:hAnsi="仿宋_GB2312" w:eastAsia="仿宋_GB2312" w:cs="仿宋_GB2312"/>
          <w:color w:val="auto"/>
          <w:sz w:val="32"/>
          <w:szCs w:val="32"/>
        </w:rPr>
        <w:t>  </w:t>
      </w:r>
      <w:r>
        <w:rPr>
          <w:rFonts w:hint="eastAsia" w:ascii="仿宋_GB2312" w:hAnsi="仿宋_GB2312" w:eastAsia="仿宋_GB2312" w:cs="仿宋_GB2312"/>
          <w:color w:val="auto"/>
          <w:sz w:val="32"/>
          <w:szCs w:val="32"/>
          <w:lang w:eastAsia="zh-CN"/>
        </w:rPr>
        <w:t>为了</w:t>
      </w:r>
      <w:r>
        <w:rPr>
          <w:rFonts w:hint="eastAsia" w:ascii="仿宋_GB2312" w:hAnsi="仿宋_GB2312" w:eastAsia="仿宋_GB2312" w:cs="仿宋_GB2312"/>
          <w:color w:val="auto"/>
          <w:sz w:val="32"/>
          <w:szCs w:val="32"/>
        </w:rPr>
        <w:t>进一步拓宽公众参与</w:t>
      </w:r>
      <w:r>
        <w:rPr>
          <w:rFonts w:hint="eastAsia" w:ascii="仿宋_GB2312" w:hAnsi="仿宋_GB2312" w:eastAsia="仿宋_GB2312" w:cs="仿宋_GB2312"/>
          <w:sz w:val="32"/>
          <w:szCs w:val="32"/>
        </w:rPr>
        <w:t>监督渠道和方式，鼓励社会公众举报(法人、社会组织、自然人)信</w:t>
      </w:r>
      <w:r>
        <w:rPr>
          <w:rFonts w:hint="eastAsia" w:ascii="仿宋_GB2312" w:hAnsi="仿宋_GB2312" w:eastAsia="仿宋_GB2312" w:cs="仿宋_GB2312"/>
          <w:sz w:val="32"/>
          <w:szCs w:val="32"/>
          <w:lang w:eastAsia="zh-CN"/>
        </w:rPr>
        <w:t>用</w:t>
      </w:r>
      <w:r>
        <w:rPr>
          <w:rFonts w:hint="eastAsia" w:ascii="仿宋_GB2312" w:hAnsi="仿宋_GB2312" w:eastAsia="仿宋_GB2312" w:cs="仿宋_GB2312"/>
          <w:sz w:val="32"/>
          <w:szCs w:val="32"/>
        </w:rPr>
        <w:t>行为，</w:t>
      </w:r>
      <w:r>
        <w:rPr>
          <w:rFonts w:hint="eastAsia" w:ascii="仿宋_GB2312" w:hAnsi="仿宋_GB2312" w:eastAsia="仿宋_GB2312" w:cs="仿宋_GB2312"/>
          <w:sz w:val="32"/>
          <w:szCs w:val="32"/>
          <w:lang w:eastAsia="zh-CN"/>
        </w:rPr>
        <w:t>行政部门</w:t>
      </w:r>
      <w:r>
        <w:rPr>
          <w:rFonts w:hint="eastAsia" w:ascii="仿宋_GB2312" w:hAnsi="仿宋_GB2312" w:eastAsia="仿宋_GB2312" w:cs="仿宋_GB2312"/>
          <w:sz w:val="32"/>
          <w:szCs w:val="32"/>
        </w:rPr>
        <w:t>对举报人信息严格保密。加大对失信主体的惩戒力度，及时予以曝光；鼓励守信行为，对信用良好的</w:t>
      </w:r>
      <w:r>
        <w:rPr>
          <w:rFonts w:hint="eastAsia" w:ascii="仿宋_GB2312" w:hAnsi="仿宋_GB2312" w:eastAsia="仿宋_GB2312" w:cs="仿宋_GB2312"/>
          <w:sz w:val="32"/>
          <w:szCs w:val="32"/>
          <w:lang w:eastAsia="zh-CN"/>
        </w:rPr>
        <w:t>市场</w:t>
      </w:r>
      <w:bookmarkStart w:id="0" w:name="_GoBack"/>
      <w:bookmarkEnd w:id="0"/>
      <w:r>
        <w:rPr>
          <w:rFonts w:hint="eastAsia" w:ascii="仿宋_GB2312" w:hAnsi="仿宋_GB2312" w:eastAsia="仿宋_GB2312" w:cs="仿宋_GB2312"/>
          <w:sz w:val="32"/>
          <w:szCs w:val="32"/>
          <w:lang w:eastAsia="zh-CN"/>
        </w:rPr>
        <w:t>主体</w:t>
      </w:r>
      <w:r>
        <w:rPr>
          <w:rFonts w:hint="eastAsia" w:ascii="仿宋_GB2312" w:hAnsi="仿宋_GB2312" w:eastAsia="仿宋_GB2312" w:cs="仿宋_GB2312"/>
          <w:sz w:val="32"/>
          <w:szCs w:val="32"/>
        </w:rPr>
        <w:t>给予优惠和鼓励政策。</w:t>
      </w:r>
    </w:p>
    <w:p>
      <w:pPr>
        <w:keepNext w:val="0"/>
        <w:keepLines w:val="0"/>
        <w:pageBreakBefore w:val="0"/>
        <w:widowControl w:val="0"/>
        <w:kinsoku/>
        <w:wordWrap/>
        <w:overflowPunct/>
        <w:topLinePunct w:val="0"/>
        <w:autoSpaceDE/>
        <w:autoSpaceDN/>
        <w:bidi w:val="0"/>
        <w:adjustRightInd/>
        <w:spacing w:line="520" w:lineRule="exact"/>
        <w:ind w:firstLine="640" w:firstLineChars="200"/>
        <w:jc w:val="center"/>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第五章</w:t>
      </w:r>
      <w:r>
        <w:rPr>
          <w:rFonts w:hint="eastAsia" w:ascii="黑体" w:hAnsi="黑体" w:eastAsia="黑体" w:cs="黑体"/>
          <w:b w:val="0"/>
          <w:bCs w:val="0"/>
          <w:sz w:val="32"/>
          <w:szCs w:val="32"/>
          <w:lang w:val="en-US" w:eastAsia="zh-CN"/>
        </w:rPr>
        <w:t xml:space="preserve">  附 则</w:t>
      </w:r>
    </w:p>
    <w:p>
      <w:pPr>
        <w:keepNext w:val="0"/>
        <w:keepLines w:val="0"/>
        <w:pageBreakBefore w:val="0"/>
        <w:widowControl w:val="0"/>
        <w:kinsoku/>
        <w:wordWrap/>
        <w:overflowPunct/>
        <w:topLinePunct w:val="0"/>
        <w:autoSpaceDE/>
        <w:autoSpaceDN/>
        <w:bidi w:val="0"/>
        <w:adjustRightInd/>
        <w:spacing w:line="520" w:lineRule="exact"/>
        <w:ind w:firstLine="658"/>
        <w:textAlignment w:val="auto"/>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val="0"/>
          <w:bCs w:val="0"/>
          <w:sz w:val="32"/>
          <w:szCs w:val="32"/>
          <w:lang w:eastAsia="zh-CN"/>
        </w:rPr>
        <w:t>第十七条</w:t>
      </w:r>
      <w:r>
        <w:rPr>
          <w:rFonts w:hint="eastAsia" w:ascii="仿宋_GB2312" w:hAnsi="仿宋_GB2312" w:eastAsia="仿宋_GB2312" w:cs="仿宋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本《办法》所称“以上”不包含本数，“以下”包含本数。</w:t>
      </w:r>
    </w:p>
    <w:p>
      <w:pPr>
        <w:keepNext w:val="0"/>
        <w:keepLines w:val="0"/>
        <w:pageBreakBefore w:val="0"/>
        <w:widowControl w:val="0"/>
        <w:kinsoku/>
        <w:wordWrap/>
        <w:overflowPunct/>
        <w:topLinePunct w:val="0"/>
        <w:autoSpaceDE/>
        <w:autoSpaceDN/>
        <w:bidi w:val="0"/>
        <w:adjustRightInd/>
        <w:spacing w:line="520" w:lineRule="exact"/>
        <w:ind w:firstLine="658"/>
        <w:textAlignment w:val="auto"/>
        <w:rPr>
          <w:rFonts w:hint="eastAsia" w:ascii="Times New Roman" w:hAnsi="Times New Roman" w:eastAsia="仿宋_GB2312" w:cs="Times New Roman"/>
          <w:color w:val="000000"/>
          <w:sz w:val="32"/>
          <w:szCs w:val="32"/>
          <w:lang w:val="en-US" w:eastAsia="zh-CN"/>
        </w:rPr>
      </w:pPr>
      <w:r>
        <w:rPr>
          <w:rFonts w:hint="eastAsia" w:ascii="仿宋_GB2312" w:hAnsi="仿宋_GB2312" w:eastAsia="仿宋_GB2312" w:cs="仿宋_GB2312"/>
          <w:b w:val="0"/>
          <w:bCs w:val="0"/>
          <w:sz w:val="32"/>
          <w:szCs w:val="32"/>
          <w:lang w:eastAsia="zh-CN"/>
        </w:rPr>
        <w:t>第十八条</w:t>
      </w:r>
      <w:r>
        <w:rPr>
          <w:rFonts w:hint="eastAsia" w:ascii="仿宋_GB2312" w:hAnsi="仿宋_GB2312" w:eastAsia="仿宋_GB2312" w:cs="仿宋_GB2312"/>
          <w:b/>
          <w:bCs/>
          <w:sz w:val="32"/>
          <w:szCs w:val="32"/>
          <w:lang w:val="en-US" w:eastAsia="zh-CN"/>
        </w:rPr>
        <w:t xml:space="preserve">  </w:t>
      </w:r>
      <w:r>
        <w:rPr>
          <w:rFonts w:hint="eastAsia" w:ascii="Times New Roman" w:hAnsi="Times New Roman" w:eastAsia="仿宋_GB2312" w:cs="Times New Roman"/>
          <w:color w:val="000000"/>
          <w:sz w:val="32"/>
          <w:szCs w:val="32"/>
          <w:lang w:val="en-US" w:eastAsia="zh-CN"/>
        </w:rPr>
        <w:t>本《办法》由威海市自然资源和规划局负责解释，自</w:t>
      </w:r>
      <w:r>
        <w:rPr>
          <w:rFonts w:hint="eastAsia" w:ascii="仿宋_GB2312" w:hAnsi="仿宋_GB2312" w:eastAsia="仿宋_GB2312" w:cs="仿宋_GB2312"/>
          <w:color w:val="000000"/>
          <w:sz w:val="32"/>
          <w:szCs w:val="32"/>
          <w:lang w:val="en-US" w:eastAsia="zh-CN"/>
        </w:rPr>
        <w:t>2021</w:t>
      </w:r>
      <w:r>
        <w:rPr>
          <w:rFonts w:hint="eastAsia" w:ascii="Times New Roman" w:hAnsi="Times New Roman" w:eastAsia="仿宋_GB2312" w:cs="Times New Roman"/>
          <w:color w:val="000000"/>
          <w:sz w:val="32"/>
          <w:szCs w:val="32"/>
          <w:lang w:val="en-US" w:eastAsia="zh-CN"/>
        </w:rPr>
        <w:t>年</w:t>
      </w:r>
      <w:r>
        <w:rPr>
          <w:rFonts w:hint="eastAsia" w:ascii="仿宋_GB2312" w:hAnsi="仿宋_GB2312" w:eastAsia="仿宋_GB2312" w:cs="仿宋_GB2312"/>
          <w:color w:val="000000"/>
          <w:sz w:val="32"/>
          <w:szCs w:val="32"/>
          <w:lang w:val="en-US" w:eastAsia="zh-CN"/>
        </w:rPr>
        <w:t>10月24日起施行，有效期至2023年10月23</w:t>
      </w:r>
      <w:r>
        <w:rPr>
          <w:rFonts w:hint="eastAsia" w:ascii="Times New Roman" w:hAnsi="Times New Roman" w:eastAsia="仿宋_GB2312" w:cs="Times New Roman"/>
          <w:color w:val="000000"/>
          <w:sz w:val="32"/>
          <w:szCs w:val="32"/>
          <w:lang w:val="en-US" w:eastAsia="zh-CN"/>
        </w:rPr>
        <w:t>日。</w:t>
      </w:r>
    </w:p>
    <w:p>
      <w:pPr>
        <w:pStyle w:val="4"/>
        <w:keepNext w:val="0"/>
        <w:keepLines w:val="0"/>
        <w:pageBreakBefore w:val="0"/>
        <w:widowControl/>
        <w:kinsoku/>
        <w:wordWrap/>
        <w:overflowPunct/>
        <w:topLinePunct w:val="0"/>
        <w:autoSpaceDE/>
        <w:autoSpaceDN/>
        <w:bidi w:val="0"/>
        <w:adjustRightInd/>
        <w:spacing w:line="560" w:lineRule="exact"/>
        <w:jc w:val="both"/>
        <w:textAlignment w:val="auto"/>
        <w:rPr>
          <w:rFonts w:ascii="黑体" w:hAnsi="宋体" w:eastAsia="黑体" w:cs="黑体"/>
          <w:spacing w:val="0"/>
          <w:sz w:val="32"/>
          <w:szCs w:val="32"/>
        </w:rPr>
      </w:pPr>
    </w:p>
    <w:p>
      <w:pPr>
        <w:pStyle w:val="4"/>
        <w:keepNext w:val="0"/>
        <w:keepLines w:val="0"/>
        <w:pageBreakBefore w:val="0"/>
        <w:widowControl/>
        <w:kinsoku/>
        <w:wordWrap/>
        <w:overflowPunct/>
        <w:topLinePunct w:val="0"/>
        <w:autoSpaceDE/>
        <w:autoSpaceDN/>
        <w:bidi w:val="0"/>
        <w:adjustRightInd/>
        <w:spacing w:line="560" w:lineRule="exact"/>
        <w:jc w:val="both"/>
        <w:textAlignment w:val="auto"/>
        <w:rPr>
          <w:rFonts w:ascii="黑体" w:hAnsi="宋体" w:eastAsia="黑体" w:cs="黑体"/>
          <w:spacing w:val="0"/>
          <w:sz w:val="32"/>
          <w:szCs w:val="32"/>
        </w:rPr>
      </w:pPr>
    </w:p>
    <w:p>
      <w:pPr>
        <w:pStyle w:val="4"/>
        <w:keepNext w:val="0"/>
        <w:keepLines w:val="0"/>
        <w:pageBreakBefore w:val="0"/>
        <w:widowControl/>
        <w:kinsoku/>
        <w:wordWrap/>
        <w:overflowPunct/>
        <w:topLinePunct w:val="0"/>
        <w:autoSpaceDE/>
        <w:autoSpaceDN/>
        <w:bidi w:val="0"/>
        <w:adjustRightInd/>
        <w:spacing w:line="600" w:lineRule="exact"/>
        <w:jc w:val="both"/>
        <w:textAlignment w:val="auto"/>
        <w:rPr>
          <w:rFonts w:ascii="黑体" w:hAnsi="宋体" w:eastAsia="黑体" w:cs="黑体"/>
          <w:spacing w:val="0"/>
          <w:sz w:val="32"/>
          <w:szCs w:val="32"/>
        </w:rPr>
      </w:pPr>
    </w:p>
    <w:p>
      <w:pPr>
        <w:pStyle w:val="4"/>
        <w:keepNext w:val="0"/>
        <w:keepLines w:val="0"/>
        <w:pageBreakBefore w:val="0"/>
        <w:widowControl/>
        <w:kinsoku/>
        <w:wordWrap/>
        <w:overflowPunct/>
        <w:topLinePunct w:val="0"/>
        <w:autoSpaceDE/>
        <w:autoSpaceDN/>
        <w:bidi w:val="0"/>
        <w:adjustRightInd/>
        <w:spacing w:line="600" w:lineRule="exact"/>
        <w:jc w:val="both"/>
        <w:textAlignment w:val="auto"/>
        <w:rPr>
          <w:rFonts w:ascii="黑体" w:hAnsi="宋体" w:eastAsia="黑体" w:cs="黑体"/>
          <w:spacing w:val="0"/>
          <w:sz w:val="32"/>
          <w:szCs w:val="32"/>
        </w:rPr>
      </w:pPr>
    </w:p>
    <w:p>
      <w:pPr>
        <w:pStyle w:val="4"/>
        <w:keepNext w:val="0"/>
        <w:keepLines w:val="0"/>
        <w:pageBreakBefore w:val="0"/>
        <w:widowControl/>
        <w:kinsoku/>
        <w:wordWrap/>
        <w:overflowPunct/>
        <w:topLinePunct w:val="0"/>
        <w:autoSpaceDE/>
        <w:autoSpaceDN/>
        <w:bidi w:val="0"/>
        <w:adjustRightInd/>
        <w:spacing w:line="600" w:lineRule="exact"/>
        <w:jc w:val="both"/>
        <w:textAlignment w:val="auto"/>
        <w:rPr>
          <w:rFonts w:ascii="黑体" w:hAnsi="宋体" w:eastAsia="黑体" w:cs="黑体"/>
          <w:spacing w:val="0"/>
          <w:sz w:val="32"/>
          <w:szCs w:val="32"/>
        </w:rPr>
      </w:pPr>
    </w:p>
    <w:p/>
    <w:sectPr>
      <w:footerReference r:id="rId3" w:type="default"/>
      <w:pgSz w:w="11906" w:h="16838"/>
      <w:pgMar w:top="1440" w:right="1576" w:bottom="1440" w:left="1576"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Wingdings 2">
    <w:panose1 w:val="050201020105070707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8543253"/>
      <w:docPartObj>
        <w:docPartGallery w:val="autotext"/>
      </w:docPartObj>
    </w:sdtPr>
    <w:sdtContent>
      <w:p>
        <w:pPr>
          <w:pStyle w:val="2"/>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CD2799"/>
    <w:rsid w:val="0134261B"/>
    <w:rsid w:val="0A1F4BF2"/>
    <w:rsid w:val="0A3901DE"/>
    <w:rsid w:val="0D39618F"/>
    <w:rsid w:val="114C176B"/>
    <w:rsid w:val="11BD4574"/>
    <w:rsid w:val="1276241B"/>
    <w:rsid w:val="13567919"/>
    <w:rsid w:val="13D67C96"/>
    <w:rsid w:val="170E508E"/>
    <w:rsid w:val="172C7350"/>
    <w:rsid w:val="194A1DDA"/>
    <w:rsid w:val="1BFC4F4F"/>
    <w:rsid w:val="1F601577"/>
    <w:rsid w:val="207477A5"/>
    <w:rsid w:val="227F3E5A"/>
    <w:rsid w:val="22F93151"/>
    <w:rsid w:val="24904902"/>
    <w:rsid w:val="29597F2A"/>
    <w:rsid w:val="2E2361D9"/>
    <w:rsid w:val="2F8547FD"/>
    <w:rsid w:val="305B513D"/>
    <w:rsid w:val="33CA44E7"/>
    <w:rsid w:val="380A0D43"/>
    <w:rsid w:val="39822BDA"/>
    <w:rsid w:val="3C965D72"/>
    <w:rsid w:val="3E3E4529"/>
    <w:rsid w:val="3FE179A4"/>
    <w:rsid w:val="430339CC"/>
    <w:rsid w:val="43092932"/>
    <w:rsid w:val="46584882"/>
    <w:rsid w:val="467E3EF4"/>
    <w:rsid w:val="47B1574F"/>
    <w:rsid w:val="492D7A68"/>
    <w:rsid w:val="497C45BB"/>
    <w:rsid w:val="4B31405E"/>
    <w:rsid w:val="4B6330F2"/>
    <w:rsid w:val="4E34129B"/>
    <w:rsid w:val="4E776B14"/>
    <w:rsid w:val="527A5281"/>
    <w:rsid w:val="5288736B"/>
    <w:rsid w:val="535C5FC5"/>
    <w:rsid w:val="561E61A3"/>
    <w:rsid w:val="5A33708F"/>
    <w:rsid w:val="5A58317F"/>
    <w:rsid w:val="5CC16EEA"/>
    <w:rsid w:val="5CF21E0A"/>
    <w:rsid w:val="5EDB52F0"/>
    <w:rsid w:val="6624437E"/>
    <w:rsid w:val="66864725"/>
    <w:rsid w:val="67CD2799"/>
    <w:rsid w:val="6AB11EFC"/>
    <w:rsid w:val="6C8853B4"/>
    <w:rsid w:val="6CC304FF"/>
    <w:rsid w:val="6D262691"/>
    <w:rsid w:val="6DCB54E2"/>
    <w:rsid w:val="70FD5B64"/>
    <w:rsid w:val="730F6F71"/>
    <w:rsid w:val="73C86468"/>
    <w:rsid w:val="74B13E4D"/>
    <w:rsid w:val="75166D69"/>
    <w:rsid w:val="7CE63E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6">
    <w:name w:val="Normal Table"/>
    <w:semiHidden/>
    <w:qFormat/>
    <w:uiPriority w:val="0"/>
    <w:tblPr>
      <w:tblLayout w:type="fixed"/>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footnote text"/>
    <w:basedOn w:val="1"/>
    <w:qFormat/>
    <w:uiPriority w:val="0"/>
    <w:pPr>
      <w:snapToGrid w:val="0"/>
      <w:jc w:val="left"/>
    </w:pPr>
    <w:rPr>
      <w:sz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69</TotalTime>
  <ScaleCrop>false</ScaleCrop>
  <LinksUpToDate>false</LinksUpToDate>
  <CharactersWithSpaces>0</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2021-09-08T08:25:00Z</dcterms:created>
  <dc:creator>qxy</dc:creator>
  <cp:lastModifiedBy>qxy</cp:lastModifiedBy>
  <cp:lastPrinted>2021-09-23T01:51:00Z</cp:lastPrinted>
  <dcterms:modified xsi:type="dcterms:W3CDTF">2021-09-23T08:13:58Z</dcterms:modified>
  <dc:title>威海市自然资源和规划局</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