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EB606F">
      <w:pPr>
        <w:pStyle w:val="14"/>
        <w:keepNext w:val="0"/>
        <w:keepLines w:val="0"/>
        <w:pageBreakBefore w:val="0"/>
        <w:widowControl/>
        <w:kinsoku/>
        <w:wordWrap/>
        <w:overflowPunct/>
        <w:topLinePunct w:val="0"/>
        <w:autoSpaceDE/>
        <w:autoSpaceDN/>
        <w:bidi w:val="0"/>
        <w:adjustRightInd/>
        <w:snapToGrid/>
        <w:spacing w:line="600" w:lineRule="exact"/>
        <w:ind w:firstLine="0" w:firstLineChars="0"/>
        <w:jc w:val="center"/>
        <w:textAlignment w:val="auto"/>
        <w:rPr>
          <w:rFonts w:hint="eastAsia" w:ascii="宋体" w:hAnsi="宋体" w:eastAsia="方正小标宋简体"/>
          <w:b w:val="0"/>
          <w:bCs w:val="0"/>
          <w:spacing w:val="-6"/>
          <w:sz w:val="44"/>
          <w:szCs w:val="44"/>
        </w:rPr>
      </w:pPr>
      <w:r>
        <w:rPr>
          <w:rFonts w:hint="eastAsia" w:ascii="方正小标宋_GBK" w:hAnsi="方正小标宋_GBK" w:eastAsia="方正小标宋_GBK" w:cs="方正小标宋_GBK"/>
          <w:sz w:val="44"/>
          <w:szCs w:val="44"/>
          <w:lang w:eastAsia="zh-CN"/>
        </w:rPr>
        <w:t>第三轮省级生态环境保护督察第</w:t>
      </w:r>
      <w:r>
        <w:rPr>
          <w:rFonts w:hint="eastAsia" w:ascii="方正小标宋_GBK" w:hAnsi="方正小标宋_GBK" w:eastAsia="方正小标宋_GBK" w:cs="方正小标宋_GBK"/>
          <w:sz w:val="44"/>
          <w:szCs w:val="44"/>
          <w:lang w:val="en-US" w:eastAsia="zh-CN"/>
        </w:rPr>
        <w:t>31项整改任务</w:t>
      </w:r>
      <w:r>
        <w:rPr>
          <w:rFonts w:hint="eastAsia" w:ascii="宋体" w:hAnsi="宋体" w:eastAsia="方正小标宋简体"/>
          <w:b w:val="0"/>
          <w:bCs w:val="0"/>
          <w:sz w:val="44"/>
          <w:szCs w:val="44"/>
        </w:rPr>
        <w:t>销</w:t>
      </w:r>
      <w:r>
        <w:rPr>
          <w:rFonts w:hint="eastAsia" w:ascii="宋体" w:hAnsi="宋体" w:eastAsia="方正小标宋简体"/>
          <w:b w:val="0"/>
          <w:bCs w:val="0"/>
          <w:spacing w:val="-6"/>
          <w:sz w:val="44"/>
          <w:szCs w:val="44"/>
        </w:rPr>
        <w:t>号确认表</w:t>
      </w:r>
    </w:p>
    <w:p w14:paraId="3BCA0CE4">
      <w:pPr>
        <w:pStyle w:val="14"/>
        <w:keepNext w:val="0"/>
        <w:keepLines w:val="0"/>
        <w:pageBreakBefore w:val="0"/>
        <w:widowControl/>
        <w:kinsoku/>
        <w:wordWrap/>
        <w:overflowPunct/>
        <w:topLinePunct w:val="0"/>
        <w:autoSpaceDE/>
        <w:autoSpaceDN/>
        <w:bidi w:val="0"/>
        <w:adjustRightInd/>
        <w:snapToGrid/>
        <w:spacing w:line="600" w:lineRule="exact"/>
        <w:ind w:firstLine="0" w:firstLineChars="0"/>
        <w:jc w:val="center"/>
        <w:textAlignment w:val="auto"/>
        <w:rPr>
          <w:rFonts w:hint="eastAsia" w:ascii="宋体" w:hAnsi="宋体" w:eastAsia="方正小标宋简体"/>
          <w:b w:val="0"/>
          <w:bCs w:val="0"/>
          <w:spacing w:val="-6"/>
          <w:sz w:val="44"/>
          <w:szCs w:val="44"/>
        </w:rPr>
      </w:pP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57"/>
        <w:gridCol w:w="7068"/>
      </w:tblGrid>
      <w:tr w14:paraId="00879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33" w:hRule="atLeast"/>
          <w:jc w:val="center"/>
        </w:trPr>
        <w:tc>
          <w:tcPr>
            <w:tcW w:w="1757" w:type="dxa"/>
            <w:noWrap w:val="0"/>
            <w:vAlign w:val="center"/>
          </w:tcPr>
          <w:p w14:paraId="00CBFE1E">
            <w:pPr>
              <w:widowControl/>
              <w:jc w:val="center"/>
              <w:rPr>
                <w:rFonts w:ascii="宋体" w:hAnsi="宋体" w:eastAsia="楷体_GB2312"/>
                <w:b w:val="0"/>
                <w:bCs w:val="0"/>
                <w:kern w:val="0"/>
                <w:sz w:val="32"/>
                <w:szCs w:val="32"/>
              </w:rPr>
            </w:pPr>
            <w:r>
              <w:rPr>
                <w:rFonts w:hint="eastAsia" w:ascii="宋体" w:hAnsi="宋体" w:eastAsia="楷体_GB2312"/>
                <w:b w:val="0"/>
                <w:bCs w:val="0"/>
                <w:kern w:val="0"/>
                <w:sz w:val="32"/>
                <w:szCs w:val="32"/>
              </w:rPr>
              <w:t>整改任务</w:t>
            </w:r>
          </w:p>
        </w:tc>
        <w:tc>
          <w:tcPr>
            <w:tcW w:w="7068" w:type="dxa"/>
            <w:noWrap w:val="0"/>
            <w:vAlign w:val="top"/>
          </w:tcPr>
          <w:p w14:paraId="2C7AB876">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baseline"/>
              <w:rPr>
                <w:rFonts w:ascii="宋体" w:hAnsi="宋体" w:eastAsia="仿宋_GB2312"/>
                <w:b w:val="0"/>
                <w:bCs w:val="0"/>
                <w:kern w:val="0"/>
                <w:sz w:val="28"/>
                <w:szCs w:val="28"/>
              </w:rPr>
            </w:pPr>
            <w:r>
              <w:rPr>
                <w:rFonts w:hint="eastAsia" w:ascii="仿宋_GB2312" w:hAnsi="仿宋_GB2312" w:eastAsia="仿宋_GB2312" w:cs="仿宋_GB2312"/>
                <w:sz w:val="24"/>
                <w:szCs w:val="24"/>
                <w:lang w:eastAsia="zh-CN"/>
              </w:rPr>
              <w:t>威海市已完成修复治理的“三区两线”可视范围内废弃矿山和2013年以来关闭露天矿山中，截至督察时仍有11处未验收。督察发现，部分已完成验</w:t>
            </w:r>
            <w:bookmarkStart w:id="0" w:name="_GoBack"/>
            <w:bookmarkEnd w:id="0"/>
            <w:r>
              <w:rPr>
                <w:rFonts w:hint="eastAsia" w:ascii="仿宋_GB2312" w:hAnsi="仿宋_GB2312" w:eastAsia="仿宋_GB2312" w:cs="仿宋_GB2312"/>
                <w:sz w:val="24"/>
                <w:szCs w:val="24"/>
                <w:lang w:eastAsia="zh-CN"/>
              </w:rPr>
              <w:t>收的矿山修复项目标准不高、维护不到位。其中，文登市邹国军采石厂、王树林采石厂，修复现场部分植被缺失。督察还发现，荣成市人和镇位于海岸带近岸陆域范围内的多处历史遗留矿山尚未开展修复，山体满目疮痍。</w:t>
            </w:r>
          </w:p>
        </w:tc>
      </w:tr>
      <w:tr w14:paraId="229BBF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9" w:hRule="atLeast"/>
          <w:jc w:val="center"/>
        </w:trPr>
        <w:tc>
          <w:tcPr>
            <w:tcW w:w="1757" w:type="dxa"/>
            <w:noWrap w:val="0"/>
            <w:vAlign w:val="center"/>
          </w:tcPr>
          <w:p w14:paraId="67233C3A">
            <w:pPr>
              <w:widowControl/>
              <w:jc w:val="center"/>
              <w:rPr>
                <w:rFonts w:ascii="宋体" w:hAnsi="宋体" w:eastAsia="楷体_GB2312"/>
                <w:b w:val="0"/>
                <w:bCs w:val="0"/>
                <w:kern w:val="0"/>
                <w:sz w:val="32"/>
                <w:szCs w:val="32"/>
              </w:rPr>
            </w:pPr>
            <w:r>
              <w:rPr>
                <w:rFonts w:hint="eastAsia" w:ascii="宋体" w:hAnsi="宋体" w:eastAsia="楷体_GB2312"/>
                <w:b w:val="0"/>
                <w:bCs w:val="0"/>
                <w:kern w:val="0"/>
                <w:sz w:val="32"/>
                <w:szCs w:val="32"/>
              </w:rPr>
              <w:t>整改目标</w:t>
            </w:r>
          </w:p>
          <w:p w14:paraId="372BE12C">
            <w:pPr>
              <w:widowControl/>
              <w:jc w:val="center"/>
              <w:rPr>
                <w:rFonts w:hint="eastAsia" w:ascii="宋体" w:hAnsi="宋体" w:eastAsia="楷体_GB2312"/>
                <w:b w:val="0"/>
                <w:bCs w:val="0"/>
                <w:kern w:val="0"/>
                <w:sz w:val="32"/>
                <w:szCs w:val="32"/>
                <w:lang w:eastAsia="zh-CN"/>
              </w:rPr>
            </w:pPr>
            <w:r>
              <w:rPr>
                <w:rFonts w:hint="eastAsia" w:ascii="宋体" w:hAnsi="宋体" w:eastAsia="楷体_GB2312"/>
                <w:b w:val="0"/>
                <w:bCs w:val="0"/>
                <w:kern w:val="0"/>
                <w:sz w:val="32"/>
                <w:szCs w:val="32"/>
                <w:lang w:val="en-US" w:eastAsia="zh-CN"/>
              </w:rPr>
              <w:t xml:space="preserve"> </w:t>
            </w:r>
          </w:p>
        </w:tc>
        <w:tc>
          <w:tcPr>
            <w:tcW w:w="7068" w:type="dxa"/>
            <w:noWrap w:val="0"/>
            <w:vAlign w:val="top"/>
          </w:tcPr>
          <w:p w14:paraId="1BAE9A1B">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baseline"/>
              <w:rPr>
                <w:rFonts w:ascii="宋体" w:hAnsi="宋体" w:eastAsia="仿宋_GB2312"/>
                <w:b w:val="0"/>
                <w:bCs w:val="0"/>
                <w:kern w:val="0"/>
                <w:sz w:val="28"/>
                <w:szCs w:val="28"/>
              </w:rPr>
            </w:pPr>
            <w:r>
              <w:rPr>
                <w:rFonts w:hint="eastAsia" w:ascii="仿宋_GB2312" w:hAnsi="仿宋_GB2312" w:eastAsia="仿宋_GB2312" w:cs="仿宋_GB2312"/>
                <w:sz w:val="24"/>
                <w:szCs w:val="24"/>
              </w:rPr>
              <w:t>按照“治理与养护并重”的原则，加强废弃矿山生态修复项目后期管护。完成环翠区“三区两线”范围内11处废弃矿山治理项目验收。对文登区邹国军、王树林采石厂现场缺失植被进行补植。加快推进荣成市人和镇海岸带近岸陆域区域废弃矿山生态修复。</w:t>
            </w:r>
          </w:p>
        </w:tc>
      </w:tr>
      <w:tr w14:paraId="6A4BB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757" w:type="dxa"/>
            <w:noWrap w:val="0"/>
            <w:vAlign w:val="center"/>
          </w:tcPr>
          <w:p w14:paraId="270AAB2B">
            <w:pPr>
              <w:pStyle w:val="5"/>
              <w:rPr>
                <w:rFonts w:hint="eastAsia"/>
              </w:rPr>
            </w:pPr>
          </w:p>
          <w:p w14:paraId="07383809">
            <w:pPr>
              <w:widowControl/>
              <w:jc w:val="center"/>
              <w:rPr>
                <w:rFonts w:ascii="宋体" w:hAnsi="宋体" w:eastAsia="楷体_GB2312"/>
                <w:b w:val="0"/>
                <w:bCs w:val="0"/>
                <w:kern w:val="0"/>
                <w:sz w:val="32"/>
                <w:szCs w:val="32"/>
              </w:rPr>
            </w:pPr>
            <w:r>
              <w:rPr>
                <w:rFonts w:hint="eastAsia" w:ascii="宋体" w:hAnsi="宋体" w:eastAsia="楷体_GB2312"/>
                <w:b w:val="0"/>
                <w:bCs w:val="0"/>
                <w:kern w:val="0"/>
                <w:sz w:val="32"/>
                <w:szCs w:val="32"/>
              </w:rPr>
              <w:t>整改措施</w:t>
            </w:r>
          </w:p>
          <w:p w14:paraId="61F8B2F3">
            <w:pPr>
              <w:widowControl/>
              <w:jc w:val="center"/>
              <w:rPr>
                <w:rFonts w:hint="eastAsia" w:ascii="宋体" w:hAnsi="宋体" w:eastAsia="楷体_GB2312"/>
                <w:b w:val="0"/>
                <w:bCs w:val="0"/>
                <w:kern w:val="0"/>
                <w:sz w:val="32"/>
                <w:szCs w:val="32"/>
                <w:lang w:eastAsia="zh-CN"/>
              </w:rPr>
            </w:pPr>
            <w:r>
              <w:rPr>
                <w:rFonts w:hint="eastAsia" w:ascii="宋体" w:hAnsi="宋体" w:eastAsia="楷体_GB2312"/>
                <w:b w:val="0"/>
                <w:bCs w:val="0"/>
                <w:kern w:val="0"/>
                <w:sz w:val="32"/>
                <w:szCs w:val="32"/>
                <w:lang w:val="en-US" w:eastAsia="zh-CN"/>
              </w:rPr>
              <w:t xml:space="preserve"> </w:t>
            </w:r>
          </w:p>
        </w:tc>
        <w:tc>
          <w:tcPr>
            <w:tcW w:w="7068" w:type="dxa"/>
            <w:noWrap w:val="0"/>
            <w:vAlign w:val="top"/>
          </w:tcPr>
          <w:p w14:paraId="3DA3825B">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baseline"/>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督导各区市、开发区对本区域已完成治理的废弃矿山生态修复项目开展实地核查，对矿山生态修复标准不高、植被成活率不高问题全面摸排，对未达到修复方案治理要求的限期整改，保证废弃矿山修复项目质量。</w:t>
            </w:r>
          </w:p>
          <w:p w14:paraId="2F5E6DA1">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2.</w:t>
            </w:r>
            <w:r>
              <w:rPr>
                <w:rFonts w:hint="eastAsia" w:ascii="仿宋_GB2312" w:hAnsi="仿宋_GB2312" w:eastAsia="仿宋_GB2312" w:cs="仿宋_GB2312"/>
                <w:sz w:val="24"/>
                <w:szCs w:val="24"/>
              </w:rPr>
              <w:t>督导环翠区加快推进项目工程和财务审计，</w:t>
            </w:r>
            <w:r>
              <w:rPr>
                <w:rFonts w:hint="eastAsia" w:ascii="仿宋_GB2312" w:hAnsi="仿宋_GB2312" w:eastAsia="仿宋_GB2312" w:cs="仿宋_GB2312"/>
                <w:sz w:val="24"/>
                <w:szCs w:val="24"/>
                <w:lang w:val="en-US" w:eastAsia="zh-CN"/>
              </w:rPr>
              <w:t>2024年12月底前完成“三区两线”范围内11处废弃矿山治理项目审计工作；2025年2月</w:t>
            </w:r>
            <w:r>
              <w:rPr>
                <w:rFonts w:hint="eastAsia" w:ascii="仿宋_GB2312" w:hAnsi="仿宋_GB2312" w:eastAsia="仿宋_GB2312" w:cs="仿宋_GB2312"/>
                <w:sz w:val="24"/>
                <w:szCs w:val="24"/>
                <w:lang w:eastAsia="zh-CN"/>
              </w:rPr>
              <w:t>底前</w:t>
            </w:r>
            <w:r>
              <w:rPr>
                <w:rFonts w:hint="eastAsia" w:ascii="仿宋_GB2312" w:hAnsi="仿宋_GB2312" w:eastAsia="仿宋_GB2312" w:cs="仿宋_GB2312"/>
                <w:sz w:val="24"/>
                <w:szCs w:val="24"/>
              </w:rPr>
              <w:t>完成项目验收工作。</w:t>
            </w:r>
          </w:p>
          <w:p w14:paraId="5AEADF49">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baseline"/>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3.</w:t>
            </w:r>
            <w:r>
              <w:rPr>
                <w:rFonts w:hint="eastAsia" w:ascii="仿宋_GB2312" w:hAnsi="仿宋_GB2312" w:eastAsia="仿宋_GB2312" w:cs="仿宋_GB2312"/>
                <w:sz w:val="24"/>
                <w:szCs w:val="24"/>
              </w:rPr>
              <w:t>督导</w:t>
            </w:r>
            <w:r>
              <w:rPr>
                <w:rFonts w:hint="eastAsia" w:ascii="仿宋_GB2312" w:hAnsi="仿宋_GB2312" w:eastAsia="仿宋_GB2312" w:cs="仿宋_GB2312"/>
                <w:sz w:val="24"/>
                <w:szCs w:val="24"/>
                <w:lang w:eastAsia="zh-CN"/>
              </w:rPr>
              <w:t>文登区</w:t>
            </w:r>
            <w:r>
              <w:rPr>
                <w:rFonts w:hint="eastAsia" w:ascii="仿宋_GB2312" w:hAnsi="仿宋_GB2312" w:eastAsia="仿宋_GB2312" w:cs="仿宋_GB2312"/>
                <w:sz w:val="24"/>
                <w:szCs w:val="24"/>
              </w:rPr>
              <w:t>2024年12月底前完成邹国军、王树林采石厂缺失植被补植工作。</w:t>
            </w:r>
          </w:p>
          <w:p w14:paraId="183797BA">
            <w:pPr>
              <w:keepNext w:val="0"/>
              <w:keepLines w:val="0"/>
              <w:pageBreakBefore w:val="0"/>
              <w:widowControl w:val="0"/>
              <w:kinsoku/>
              <w:wordWrap/>
              <w:overflowPunct/>
              <w:topLinePunct w:val="0"/>
              <w:autoSpaceDE/>
              <w:autoSpaceDN/>
              <w:bidi w:val="0"/>
              <w:adjustRightInd/>
              <w:snapToGrid/>
              <w:spacing w:line="240" w:lineRule="auto"/>
              <w:ind w:firstLine="480" w:firstLineChars="200"/>
              <w:textAlignment w:val="baseline"/>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4.督导荣成市加快推进人和镇海岸带近岸陆域区域废弃矿山修复，编制方案，按规定报批后抓紧组织实施，2026年12月底前完成治理。</w:t>
            </w:r>
          </w:p>
          <w:p w14:paraId="2665CA6B">
            <w:pPr>
              <w:keepNext w:val="0"/>
              <w:keepLines w:val="0"/>
              <w:pageBreakBefore w:val="0"/>
              <w:widowControl w:val="0"/>
              <w:kinsoku/>
              <w:wordWrap/>
              <w:overflowPunct/>
              <w:topLinePunct w:val="0"/>
              <w:autoSpaceDE/>
              <w:autoSpaceDN/>
              <w:bidi w:val="0"/>
              <w:adjustRightInd/>
              <w:snapToGrid/>
              <w:spacing w:line="440" w:lineRule="exact"/>
              <w:ind w:firstLine="560" w:firstLineChars="200"/>
              <w:jc w:val="both"/>
              <w:textAlignment w:val="auto"/>
              <w:outlineLvl w:val="9"/>
              <w:rPr>
                <w:rFonts w:ascii="宋体" w:hAnsi="宋体" w:eastAsia="仿宋_GB2312"/>
                <w:b w:val="0"/>
                <w:bCs w:val="0"/>
                <w:kern w:val="0"/>
                <w:sz w:val="28"/>
                <w:szCs w:val="28"/>
              </w:rPr>
            </w:pPr>
          </w:p>
        </w:tc>
      </w:tr>
      <w:tr w14:paraId="4D445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6" w:hRule="atLeast"/>
          <w:jc w:val="center"/>
        </w:trPr>
        <w:tc>
          <w:tcPr>
            <w:tcW w:w="1757" w:type="dxa"/>
            <w:noWrap w:val="0"/>
            <w:vAlign w:val="center"/>
          </w:tcPr>
          <w:p w14:paraId="7D879D7E">
            <w:pPr>
              <w:widowControl/>
              <w:jc w:val="center"/>
              <w:rPr>
                <w:rFonts w:hint="eastAsia" w:ascii="宋体" w:hAnsi="宋体" w:eastAsia="楷体_GB2312"/>
                <w:b w:val="0"/>
                <w:bCs w:val="0"/>
                <w:kern w:val="0"/>
                <w:sz w:val="32"/>
                <w:szCs w:val="32"/>
              </w:rPr>
            </w:pPr>
            <w:r>
              <w:rPr>
                <w:rFonts w:hint="eastAsia" w:ascii="宋体" w:hAnsi="宋体" w:eastAsia="楷体_GB2312"/>
                <w:b w:val="0"/>
                <w:bCs w:val="0"/>
                <w:kern w:val="0"/>
                <w:sz w:val="32"/>
                <w:szCs w:val="32"/>
              </w:rPr>
              <w:t>整改任务</w:t>
            </w:r>
          </w:p>
          <w:p w14:paraId="11417096">
            <w:pPr>
              <w:widowControl/>
              <w:jc w:val="center"/>
              <w:rPr>
                <w:rFonts w:hint="eastAsia" w:ascii="宋体" w:hAnsi="宋体" w:eastAsia="楷体_GB2312"/>
                <w:b w:val="0"/>
                <w:bCs w:val="0"/>
                <w:kern w:val="0"/>
                <w:sz w:val="32"/>
                <w:szCs w:val="32"/>
                <w:lang w:eastAsia="zh-CN"/>
              </w:rPr>
            </w:pPr>
            <w:r>
              <w:rPr>
                <w:rFonts w:hint="eastAsia" w:ascii="宋体" w:hAnsi="宋体" w:eastAsia="楷体_GB2312"/>
                <w:b w:val="0"/>
                <w:bCs w:val="0"/>
                <w:kern w:val="0"/>
                <w:sz w:val="32"/>
                <w:szCs w:val="32"/>
                <w:lang w:eastAsia="zh-CN"/>
              </w:rPr>
              <w:t>完成情况</w:t>
            </w:r>
          </w:p>
        </w:tc>
        <w:tc>
          <w:tcPr>
            <w:tcW w:w="7068" w:type="dxa"/>
            <w:noWrap w:val="0"/>
            <w:vAlign w:val="top"/>
          </w:tcPr>
          <w:p w14:paraId="583BB9ED">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1.</w:t>
            </w:r>
            <w:r>
              <w:rPr>
                <w:rFonts w:hint="eastAsia" w:ascii="仿宋_GB2312" w:hAnsi="仿宋_GB2312" w:eastAsia="仿宋_GB2312" w:cs="仿宋_GB2312"/>
                <w:sz w:val="24"/>
                <w:szCs w:val="24"/>
                <w:lang w:val="en-US" w:eastAsia="zh-CN"/>
              </w:rPr>
              <w:t>环翠区11处“三区两线”范围内废弃矿山治理项目已完成专家验收工作。</w:t>
            </w:r>
          </w:p>
          <w:p w14:paraId="5DF02A4F">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cs="仿宋_GB2312"/>
                <w:sz w:val="24"/>
                <w:szCs w:val="24"/>
                <w:lang w:val="en-US" w:eastAsia="zh-CN"/>
              </w:rPr>
              <w:t>2.</w:t>
            </w:r>
            <w:r>
              <w:rPr>
                <w:rFonts w:hint="eastAsia" w:ascii="仿宋_GB2312" w:hAnsi="仿宋_GB2312" w:eastAsia="仿宋_GB2312" w:cs="仿宋_GB2312"/>
                <w:sz w:val="24"/>
                <w:szCs w:val="24"/>
                <w:lang w:val="en-US" w:eastAsia="zh-CN"/>
              </w:rPr>
              <w:t>文登区邹国军、王树林采石厂缺失植被区域，已通过补植松树和棉槐的方式整改到位。</w:t>
            </w:r>
          </w:p>
          <w:p w14:paraId="2B5DA3ED">
            <w:pPr>
              <w:keepNext w:val="0"/>
              <w:keepLines w:val="0"/>
              <w:pageBreakBefore w:val="0"/>
              <w:widowControl w:val="0"/>
              <w:kinsoku/>
              <w:wordWrap/>
              <w:overflowPunct/>
              <w:topLinePunct w:val="0"/>
              <w:autoSpaceDE/>
              <w:autoSpaceDN/>
              <w:bidi w:val="0"/>
              <w:adjustRightInd/>
              <w:snapToGrid/>
              <w:spacing w:line="400" w:lineRule="exact"/>
              <w:ind w:firstLine="480" w:firstLineChars="200"/>
              <w:textAlignment w:val="auto"/>
              <w:outlineLvl w:val="9"/>
              <w:rPr>
                <w:rFonts w:hint="eastAsia" w:ascii="宋体" w:hAnsi="宋体" w:eastAsia="仿宋_GB2312" w:cs="仿宋_GB2312"/>
                <w:b w:val="0"/>
                <w:bCs w:val="0"/>
                <w:color w:val="000000"/>
                <w:kern w:val="21"/>
                <w:sz w:val="28"/>
                <w:szCs w:val="28"/>
                <w:lang w:val="en-US" w:eastAsia="zh-CN" w:bidi="ar-SA"/>
              </w:rPr>
            </w:pPr>
            <w:r>
              <w:rPr>
                <w:rFonts w:hint="eastAsia" w:ascii="仿宋_GB2312" w:hAnsi="仿宋_GB2312" w:cs="仿宋_GB2312"/>
                <w:sz w:val="24"/>
                <w:szCs w:val="24"/>
                <w:lang w:val="en-US" w:eastAsia="zh-CN"/>
              </w:rPr>
              <w:t>3.</w:t>
            </w:r>
            <w:r>
              <w:rPr>
                <w:rFonts w:hint="eastAsia" w:ascii="仿宋_GB2312" w:hAnsi="仿宋_GB2312" w:eastAsia="仿宋_GB2312" w:cs="仿宋_GB2312"/>
                <w:sz w:val="24"/>
                <w:szCs w:val="24"/>
                <w:lang w:val="en-US" w:eastAsia="zh-CN"/>
              </w:rPr>
              <w:t>人和镇海岸带近岸陆域区域废弃矿山西区（荣成市人和镇等区域矿山生态修复项目）已通过工程治理的方式，完成治理修复工作。中区、东区通过转型利用的方式开展修复，中区1156亩工业用地已办理了不动产权证，东区660亩于2025年8月完成了征地审批备案工作。</w:t>
            </w:r>
          </w:p>
        </w:tc>
      </w:tr>
    </w:tbl>
    <w:p w14:paraId="067C0421">
      <w:pPr>
        <w:jc w:val="left"/>
        <w:rPr>
          <w:rFonts w:hint="default" w:ascii="微软雅黑" w:hAnsi="微软雅黑" w:eastAsia="微软雅黑" w:cs="微软雅黑"/>
          <w:i w:val="0"/>
          <w:iCs w:val="0"/>
          <w:caps w:val="0"/>
          <w:color w:val="333333"/>
          <w:spacing w:val="0"/>
          <w:sz w:val="24"/>
          <w:szCs w:val="24"/>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embedRegular r:id="rId1" w:fontKey="{BF0B5390-FB94-4204-9EA6-2353EAF47DE4}"/>
  </w:font>
  <w:font w:name="方正小标宋简体">
    <w:panose1 w:val="02010600010101010101"/>
    <w:charset w:val="86"/>
    <w:family w:val="auto"/>
    <w:pitch w:val="default"/>
    <w:sig w:usb0="00000001" w:usb1="080E0000" w:usb2="00000000" w:usb3="00000000" w:csb0="00040000" w:csb1="00000000"/>
    <w:embedRegular r:id="rId2" w:fontKey="{818673C3-3685-4ADE-8114-01229ED6D0AE}"/>
  </w:font>
  <w:font w:name="方正小标宋_GBK">
    <w:panose1 w:val="03000509000000000000"/>
    <w:charset w:val="86"/>
    <w:family w:val="auto"/>
    <w:pitch w:val="default"/>
    <w:sig w:usb0="00000001" w:usb1="080E0000" w:usb2="00000000" w:usb3="00000000" w:csb0="00040000" w:csb1="00000000"/>
    <w:embedRegular r:id="rId3" w:fontKey="{AC0320B5-33CD-44E7-8BDD-0C12FAF09C93}"/>
  </w:font>
  <w:font w:name="楷体_GB2312">
    <w:panose1 w:val="02010609030101010101"/>
    <w:charset w:val="86"/>
    <w:family w:val="modern"/>
    <w:pitch w:val="default"/>
    <w:sig w:usb0="00000001" w:usb1="080E0000" w:usb2="00000000" w:usb3="00000000" w:csb0="00040000" w:csb1="00000000"/>
    <w:embedRegular r:id="rId4" w:fontKey="{3B110BC9-05C0-4341-8901-A7971C8B7D7B}"/>
  </w:font>
  <w:font w:name="微软雅黑">
    <w:panose1 w:val="020B0503020204020204"/>
    <w:charset w:val="86"/>
    <w:family w:val="auto"/>
    <w:pitch w:val="default"/>
    <w:sig w:usb0="80000287" w:usb1="280F3C52" w:usb2="00000016" w:usb3="00000000" w:csb0="0004001F" w:csb1="00000000"/>
    <w:embedRegular r:id="rId5" w:fontKey="{B0EAEE19-C390-4966-95E8-33BF05C9C7B3}"/>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9312A9"/>
    <w:rsid w:val="097C0A84"/>
    <w:rsid w:val="0FD51903"/>
    <w:rsid w:val="15EE60C1"/>
    <w:rsid w:val="2AE323E7"/>
    <w:rsid w:val="2E9312A9"/>
    <w:rsid w:val="32D02BEB"/>
    <w:rsid w:val="33E11D5D"/>
    <w:rsid w:val="3E32081F"/>
    <w:rsid w:val="40DC67B5"/>
    <w:rsid w:val="4D6C5F41"/>
    <w:rsid w:val="51827A74"/>
    <w:rsid w:val="7A146686"/>
    <w:rsid w:val="7F2243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eastAsia="仿宋_GB2312" w:asciiTheme="minorAscii" w:hAnsiTheme="minorAscii" w:cstheme="minorBidi"/>
      <w:kern w:val="2"/>
      <w:sz w:val="32"/>
      <w:szCs w:val="32"/>
      <w:lang w:val="en-US" w:eastAsia="zh-CN" w:bidi="ar-SA"/>
    </w:rPr>
  </w:style>
  <w:style w:type="paragraph" w:styleId="2">
    <w:name w:val="heading 1"/>
    <w:basedOn w:val="1"/>
    <w:next w:val="1"/>
    <w:qFormat/>
    <w:uiPriority w:val="0"/>
    <w:pPr>
      <w:keepNext/>
      <w:keepLines/>
      <w:adjustRightInd w:val="0"/>
      <w:snapToGrid w:val="0"/>
      <w:spacing w:beforeLines="0" w:beforeAutospacing="0" w:afterLines="0" w:afterAutospacing="0" w:line="600" w:lineRule="exact"/>
      <w:jc w:val="center"/>
      <w:outlineLvl w:val="0"/>
    </w:pPr>
    <w:rPr>
      <w:rFonts w:eastAsia="方正小标宋简体" w:asciiTheme="minorAscii" w:hAnsiTheme="minorAscii"/>
      <w:kern w:val="44"/>
      <w:sz w:val="44"/>
    </w:rPr>
  </w:style>
  <w:style w:type="paragraph" w:styleId="3">
    <w:name w:val="heading 2"/>
    <w:basedOn w:val="1"/>
    <w:next w:val="1"/>
    <w:link w:val="13"/>
    <w:autoRedefine/>
    <w:semiHidden/>
    <w:unhideWhenUsed/>
    <w:qFormat/>
    <w:uiPriority w:val="0"/>
    <w:pPr>
      <w:keepNext/>
      <w:keepLines/>
      <w:adjustRightInd w:val="0"/>
      <w:snapToGrid w:val="0"/>
      <w:spacing w:beforeLines="0" w:beforeAutospacing="0" w:afterLines="0" w:afterAutospacing="0" w:line="560" w:lineRule="exact"/>
      <w:ind w:leftChars="0" w:firstLine="880" w:firstLineChars="200"/>
      <w:outlineLvl w:val="1"/>
    </w:pPr>
    <w:rPr>
      <w:rFonts w:ascii="Arial" w:hAnsi="Arial" w:eastAsia="黑体"/>
    </w:rPr>
  </w:style>
  <w:style w:type="paragraph" w:styleId="4">
    <w:name w:val="heading 3"/>
    <w:basedOn w:val="1"/>
    <w:next w:val="1"/>
    <w:semiHidden/>
    <w:unhideWhenUsed/>
    <w:qFormat/>
    <w:uiPriority w:val="0"/>
    <w:pPr>
      <w:keepNext/>
      <w:keepLines/>
      <w:adjustRightInd w:val="0"/>
      <w:snapToGrid w:val="0"/>
      <w:spacing w:beforeLines="0" w:beforeAutospacing="0" w:afterLines="0" w:afterAutospacing="0" w:line="560" w:lineRule="exact"/>
      <w:ind w:firstLine="643" w:firstLineChars="200"/>
      <w:outlineLvl w:val="2"/>
    </w:pPr>
    <w:rPr>
      <w:rFonts w:asciiTheme="minorAscii" w:hAnsiTheme="minorAscii"/>
    </w:rPr>
  </w:style>
  <w:style w:type="character" w:default="1" w:styleId="11">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5">
    <w:name w:val="Body Text"/>
    <w:basedOn w:val="1"/>
    <w:next w:val="6"/>
    <w:qFormat/>
    <w:uiPriority w:val="99"/>
    <w:pPr>
      <w:spacing w:after="120"/>
    </w:pPr>
    <w:rPr>
      <w:rFonts w:ascii="Times New Roman" w:hAnsi="Times New Roman"/>
    </w:rPr>
  </w:style>
  <w:style w:type="paragraph" w:styleId="6">
    <w:name w:val="Body Text First Indent 2"/>
    <w:basedOn w:val="7"/>
    <w:next w:val="1"/>
    <w:unhideWhenUsed/>
    <w:qFormat/>
    <w:uiPriority w:val="99"/>
    <w:pPr>
      <w:spacing w:before="100" w:beforeAutospacing="1"/>
      <w:ind w:firstLine="420" w:firstLineChars="200"/>
    </w:pPr>
    <w:rPr>
      <w:rFonts w:ascii="Calibri" w:hAnsi="Calibri" w:eastAsia="宋体" w:cs="宋体"/>
      <w:szCs w:val="21"/>
    </w:rPr>
  </w:style>
  <w:style w:type="paragraph" w:styleId="7">
    <w:name w:val="Body Text Indent"/>
    <w:basedOn w:val="1"/>
    <w:next w:val="6"/>
    <w:unhideWhenUsed/>
    <w:qFormat/>
    <w:uiPriority w:val="99"/>
    <w:pPr>
      <w:spacing w:after="120"/>
      <w:ind w:left="420" w:leftChars="200"/>
    </w:pPr>
  </w:style>
  <w:style w:type="paragraph" w:styleId="8">
    <w:name w:val="Normal (Web)"/>
    <w:basedOn w:val="1"/>
    <w:qFormat/>
    <w:uiPriority w:val="0"/>
    <w:pPr>
      <w:spacing w:before="0" w:beforeAutospacing="1" w:after="0" w:afterAutospacing="1"/>
      <w:ind w:left="0" w:right="0"/>
      <w:jc w:val="left"/>
    </w:pPr>
    <w:rPr>
      <w:kern w:val="0"/>
      <w:sz w:val="24"/>
      <w:lang w:val="en-US" w:eastAsia="zh-CN" w:bidi="ar"/>
    </w:rPr>
  </w:style>
  <w:style w:type="table" w:styleId="10">
    <w:name w:val="Table Grid"/>
    <w:basedOn w:val="9"/>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Hyperlink"/>
    <w:basedOn w:val="11"/>
    <w:qFormat/>
    <w:uiPriority w:val="0"/>
    <w:rPr>
      <w:color w:val="0000FF"/>
      <w:u w:val="single"/>
    </w:rPr>
  </w:style>
  <w:style w:type="character" w:customStyle="1" w:styleId="13">
    <w:name w:val="标题 2 Char"/>
    <w:link w:val="3"/>
    <w:autoRedefine/>
    <w:qFormat/>
    <w:uiPriority w:val="0"/>
    <w:rPr>
      <w:rFonts w:ascii="Arial" w:hAnsi="Arial" w:eastAsia="黑体"/>
      <w:sz w:val="32"/>
    </w:rPr>
  </w:style>
  <w:style w:type="paragraph" w:styleId="14">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982</Words>
  <Characters>1060</Characters>
  <Lines>0</Lines>
  <Paragraphs>0</Paragraphs>
  <TotalTime>3</TotalTime>
  <ScaleCrop>false</ScaleCrop>
  <LinksUpToDate>false</LinksUpToDate>
  <CharactersWithSpaces>1062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2025-08-12T07:59:00Z</dcterms:created>
  <dc:creator>WPS9877</dc:creator>
  <cp:lastModifiedBy>WPS9877</cp:lastModifiedBy>
  <cp:lastPrinted>2025-08-13T01:24:00Z</cp:lastPrinted>
  <dcterms:modified xsi:type="dcterms:W3CDTF">2025-10-09T02:37:38Z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172F5EB795E6467D90AAACF5B20B5BD8_13</vt:lpwstr>
  </property>
  <property fmtid="{D5CDD505-2E9C-101B-9397-08002B2CF9AE}" pid="4" name="KSOTemplateDocerSaveRecord">
    <vt:lpwstr>eyJoZGlkIjoiN2I4MWNmNDA5MDI2ZDZiMTk0YmFmMmFkYWVlZDZlNjciLCJ1c2VySWQiOiIxNDQyMTQ1Njc3In0=</vt:lpwstr>
  </property>
</Properties>
</file>