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0" w:firstLineChars="200"/>
        <w:jc w:val="both"/>
        <w:rPr>
          <w:color w:val="auto"/>
        </w:rPr>
      </w:pPr>
    </w:p>
    <w:p>
      <w:pPr>
        <w:spacing w:line="360" w:lineRule="auto"/>
        <w:ind w:firstLine="480" w:firstLineChars="200"/>
        <w:jc w:val="both"/>
        <w:rPr>
          <w:color w:val="auto"/>
        </w:rPr>
      </w:pPr>
    </w:p>
    <w:p>
      <w:pPr>
        <w:spacing w:line="360" w:lineRule="auto"/>
        <w:ind w:firstLine="480" w:firstLineChars="200"/>
        <w:jc w:val="both"/>
        <w:rPr>
          <w:color w:val="auto"/>
        </w:rPr>
      </w:pPr>
    </w:p>
    <w:p>
      <w:pPr>
        <w:spacing w:line="360" w:lineRule="auto"/>
        <w:ind w:firstLine="480" w:firstLineChars="200"/>
        <w:jc w:val="both"/>
        <w:rPr>
          <w:color w:val="auto"/>
        </w:rPr>
      </w:pPr>
    </w:p>
    <w:p>
      <w:pPr>
        <w:spacing w:line="360" w:lineRule="auto"/>
        <w:ind w:firstLine="480" w:firstLineChars="200"/>
        <w:jc w:val="both"/>
        <w:rPr>
          <w:color w:val="auto"/>
        </w:rPr>
      </w:pPr>
    </w:p>
    <w:p>
      <w:pPr>
        <w:spacing w:line="360" w:lineRule="auto"/>
        <w:ind w:firstLine="480" w:firstLineChars="200"/>
        <w:jc w:val="both"/>
        <w:rPr>
          <w:color w:val="auto"/>
        </w:rPr>
      </w:pPr>
    </w:p>
    <w:p>
      <w:pPr>
        <w:widowControl w:val="0"/>
        <w:spacing w:line="1060" w:lineRule="exact"/>
        <w:jc w:val="center"/>
        <w:rPr>
          <w:rFonts w:eastAsia="华文中宋"/>
          <w:color w:val="auto"/>
          <w:kern w:val="2"/>
          <w:sz w:val="72"/>
          <w:szCs w:val="72"/>
        </w:rPr>
      </w:pPr>
      <w:r>
        <w:rPr>
          <w:rFonts w:hint="eastAsia" w:eastAsia="华文中宋"/>
          <w:color w:val="auto"/>
          <w:kern w:val="2"/>
          <w:sz w:val="72"/>
          <w:szCs w:val="72"/>
        </w:rPr>
        <w:t>威海市</w:t>
      </w:r>
    </w:p>
    <w:p>
      <w:pPr>
        <w:widowControl w:val="0"/>
        <w:spacing w:line="1060" w:lineRule="exact"/>
        <w:jc w:val="center"/>
        <w:rPr>
          <w:rFonts w:eastAsia="华文中宋"/>
          <w:color w:val="auto"/>
          <w:kern w:val="2"/>
          <w:sz w:val="72"/>
          <w:szCs w:val="72"/>
        </w:rPr>
      </w:pPr>
      <w:r>
        <w:rPr>
          <w:rFonts w:hint="eastAsia" w:eastAsia="华文中宋"/>
          <w:color w:val="auto"/>
          <w:kern w:val="2"/>
          <w:sz w:val="72"/>
          <w:szCs w:val="72"/>
        </w:rPr>
        <w:t>矿产资源总体规划</w:t>
      </w:r>
    </w:p>
    <w:p>
      <w:pPr>
        <w:spacing w:line="360" w:lineRule="auto"/>
        <w:jc w:val="center"/>
        <w:rPr>
          <w:rFonts w:hAnsi="宋体"/>
          <w:b/>
          <w:color w:val="auto"/>
          <w:sz w:val="48"/>
          <w:szCs w:val="48"/>
        </w:rPr>
      </w:pPr>
      <w:r>
        <w:rPr>
          <w:rFonts w:hAnsi="宋体"/>
          <w:b/>
          <w:color w:val="auto"/>
          <w:sz w:val="48"/>
          <w:szCs w:val="48"/>
        </w:rPr>
        <w:t>（</w:t>
      </w:r>
      <w:r>
        <w:rPr>
          <w:b/>
          <w:color w:val="auto"/>
          <w:sz w:val="48"/>
          <w:szCs w:val="48"/>
        </w:rPr>
        <w:t>20</w:t>
      </w:r>
      <w:r>
        <w:rPr>
          <w:rFonts w:hint="eastAsia"/>
          <w:b/>
          <w:color w:val="auto"/>
          <w:sz w:val="48"/>
          <w:szCs w:val="48"/>
        </w:rPr>
        <w:t>21</w:t>
      </w:r>
      <w:r>
        <w:rPr>
          <w:rFonts w:hint="eastAsia" w:hAnsi="宋体"/>
          <w:b/>
          <w:color w:val="auto"/>
          <w:sz w:val="48"/>
          <w:szCs w:val="48"/>
        </w:rPr>
        <w:t>—2</w:t>
      </w:r>
      <w:r>
        <w:rPr>
          <w:b/>
          <w:color w:val="auto"/>
          <w:sz w:val="48"/>
          <w:szCs w:val="48"/>
        </w:rPr>
        <w:t>02</w:t>
      </w:r>
      <w:r>
        <w:rPr>
          <w:rFonts w:hint="eastAsia"/>
          <w:b/>
          <w:color w:val="auto"/>
          <w:sz w:val="48"/>
          <w:szCs w:val="48"/>
        </w:rPr>
        <w:t>5</w:t>
      </w:r>
      <w:r>
        <w:rPr>
          <w:rFonts w:hAnsi="宋体"/>
          <w:b/>
          <w:color w:val="auto"/>
          <w:sz w:val="48"/>
          <w:szCs w:val="48"/>
        </w:rPr>
        <w:t>年）</w:t>
      </w:r>
    </w:p>
    <w:p>
      <w:pPr>
        <w:spacing w:line="360" w:lineRule="auto"/>
        <w:jc w:val="center"/>
        <w:rPr>
          <w:b/>
          <w:color w:val="auto"/>
          <w:sz w:val="48"/>
          <w:szCs w:val="48"/>
        </w:rPr>
      </w:pPr>
      <w:r>
        <w:rPr>
          <w:rFonts w:hint="eastAsia" w:hAnsi="宋体"/>
          <w:b/>
          <w:color w:val="auto"/>
          <w:sz w:val="48"/>
          <w:szCs w:val="48"/>
        </w:rPr>
        <w:t>（征求意见稿）</w:t>
      </w:r>
    </w:p>
    <w:p>
      <w:pPr>
        <w:spacing w:line="360" w:lineRule="auto"/>
        <w:ind w:firstLine="480" w:firstLineChars="200"/>
        <w:jc w:val="both"/>
        <w:rPr>
          <w:rFonts w:ascii="宋体" w:hAnsi="宋体"/>
          <w:color w:val="auto"/>
        </w:rPr>
      </w:pPr>
    </w:p>
    <w:p>
      <w:pPr>
        <w:spacing w:line="360" w:lineRule="auto"/>
        <w:ind w:firstLine="480" w:firstLineChars="200"/>
        <w:jc w:val="both"/>
        <w:rPr>
          <w:rFonts w:ascii="宋体" w:hAnsi="宋体"/>
          <w:color w:val="auto"/>
        </w:rPr>
      </w:pPr>
    </w:p>
    <w:p>
      <w:pPr>
        <w:spacing w:line="360" w:lineRule="auto"/>
        <w:ind w:firstLine="480" w:firstLineChars="200"/>
        <w:jc w:val="both"/>
        <w:rPr>
          <w:rFonts w:ascii="宋体" w:hAnsi="宋体"/>
          <w:color w:val="auto"/>
        </w:rPr>
      </w:pPr>
    </w:p>
    <w:p>
      <w:pPr>
        <w:spacing w:line="360" w:lineRule="auto"/>
        <w:ind w:firstLine="480" w:firstLineChars="200"/>
        <w:jc w:val="both"/>
        <w:rPr>
          <w:rFonts w:ascii="宋体" w:hAnsi="宋体"/>
          <w:color w:val="auto"/>
        </w:rPr>
      </w:pPr>
    </w:p>
    <w:p>
      <w:pPr>
        <w:spacing w:line="360" w:lineRule="auto"/>
        <w:ind w:firstLine="480" w:firstLineChars="200"/>
        <w:jc w:val="both"/>
        <w:rPr>
          <w:rFonts w:ascii="宋体" w:hAnsi="宋体"/>
          <w:color w:val="auto"/>
        </w:rPr>
      </w:pPr>
    </w:p>
    <w:p>
      <w:pPr>
        <w:spacing w:line="360" w:lineRule="auto"/>
        <w:ind w:firstLine="480" w:firstLineChars="200"/>
        <w:jc w:val="both"/>
        <w:rPr>
          <w:rFonts w:ascii="宋体" w:hAnsi="宋体"/>
          <w:color w:val="auto"/>
        </w:rPr>
      </w:pPr>
    </w:p>
    <w:p>
      <w:pPr>
        <w:spacing w:line="360" w:lineRule="auto"/>
        <w:ind w:firstLine="480" w:firstLineChars="200"/>
        <w:jc w:val="both"/>
        <w:rPr>
          <w:rFonts w:ascii="宋体" w:hAnsi="宋体"/>
          <w:color w:val="auto"/>
        </w:rPr>
      </w:pPr>
    </w:p>
    <w:p>
      <w:pPr>
        <w:spacing w:line="360" w:lineRule="auto"/>
        <w:ind w:firstLine="480" w:firstLineChars="200"/>
        <w:jc w:val="both"/>
        <w:rPr>
          <w:rFonts w:ascii="宋体" w:hAnsi="宋体"/>
          <w:color w:val="auto"/>
        </w:rPr>
      </w:pPr>
    </w:p>
    <w:p>
      <w:pPr>
        <w:spacing w:line="360" w:lineRule="auto"/>
        <w:ind w:firstLine="480" w:firstLineChars="200"/>
        <w:jc w:val="both"/>
        <w:rPr>
          <w:rFonts w:ascii="宋体" w:hAnsi="宋体"/>
          <w:color w:val="auto"/>
        </w:rPr>
      </w:pPr>
    </w:p>
    <w:p>
      <w:pPr>
        <w:spacing w:line="360" w:lineRule="auto"/>
        <w:ind w:firstLine="480" w:firstLineChars="200"/>
        <w:jc w:val="both"/>
        <w:rPr>
          <w:rFonts w:ascii="宋体" w:hAnsi="宋体"/>
          <w:color w:val="auto"/>
        </w:rPr>
      </w:pPr>
    </w:p>
    <w:p>
      <w:pPr>
        <w:spacing w:line="360" w:lineRule="auto"/>
        <w:ind w:firstLine="480" w:firstLineChars="200"/>
        <w:jc w:val="both"/>
        <w:rPr>
          <w:rFonts w:ascii="宋体" w:hAnsi="宋体"/>
          <w:color w:val="auto"/>
        </w:rPr>
      </w:pPr>
    </w:p>
    <w:p>
      <w:pPr>
        <w:widowControl w:val="0"/>
        <w:spacing w:line="700" w:lineRule="exact"/>
        <w:jc w:val="center"/>
        <w:rPr>
          <w:rFonts w:eastAsia="楷体_GB2312"/>
          <w:color w:val="auto"/>
          <w:kern w:val="2"/>
          <w:sz w:val="36"/>
          <w:szCs w:val="36"/>
        </w:rPr>
      </w:pPr>
      <w:r>
        <w:rPr>
          <w:rFonts w:hint="eastAsia" w:eastAsia="楷体_GB2312"/>
          <w:color w:val="auto"/>
          <w:kern w:val="2"/>
          <w:sz w:val="36"/>
          <w:szCs w:val="36"/>
        </w:rPr>
        <w:t>二○二一年八月</w:t>
      </w:r>
    </w:p>
    <w:p>
      <w:pPr>
        <w:widowControl w:val="0"/>
        <w:spacing w:line="700" w:lineRule="exact"/>
        <w:jc w:val="center"/>
        <w:rPr>
          <w:rFonts w:eastAsia="楷体_GB2312"/>
          <w:color w:val="auto"/>
          <w:kern w:val="2"/>
          <w:sz w:val="36"/>
          <w:szCs w:val="36"/>
        </w:rPr>
        <w:sectPr>
          <w:footerReference r:id="rId3" w:type="default"/>
          <w:footerReference r:id="rId4" w:type="even"/>
          <w:pgSz w:w="11906" w:h="16838"/>
          <w:pgMar w:top="1440" w:right="1800" w:bottom="1440" w:left="1800" w:header="708" w:footer="708" w:gutter="0"/>
          <w:pgNumType w:start="1"/>
          <w:cols w:space="708" w:num="1"/>
          <w:titlePg/>
          <w:docGrid w:linePitch="360" w:charSpace="0"/>
        </w:sectPr>
      </w:pPr>
    </w:p>
    <w:p>
      <w:pPr>
        <w:spacing w:line="360" w:lineRule="auto"/>
        <w:jc w:val="center"/>
        <w:rPr>
          <w:rFonts w:ascii="宋体" w:hAnsi="宋体"/>
          <w:b/>
          <w:color w:val="auto"/>
          <w:sz w:val="32"/>
          <w:szCs w:val="32"/>
        </w:rPr>
      </w:pPr>
      <w:r>
        <w:rPr>
          <w:rFonts w:hint="eastAsia" w:ascii="宋体" w:hAnsi="宋体"/>
          <w:b/>
          <w:color w:val="auto"/>
          <w:sz w:val="32"/>
          <w:szCs w:val="32"/>
        </w:rPr>
        <w:t>目　录</w:t>
      </w:r>
    </w:p>
    <w:p>
      <w:pPr>
        <w:spacing w:line="450" w:lineRule="exact"/>
        <w:ind w:firstLine="643" w:firstLineChars="200"/>
        <w:jc w:val="center"/>
        <w:rPr>
          <w:rFonts w:ascii="宋体" w:hAnsi="宋体"/>
          <w:b/>
          <w:color w:val="auto"/>
          <w:sz w:val="32"/>
          <w:szCs w:val="32"/>
        </w:rPr>
      </w:pPr>
    </w:p>
    <w:p>
      <w:pPr>
        <w:pStyle w:val="16"/>
        <w:spacing w:line="360" w:lineRule="auto"/>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TOC \o "1-3" \h \z \u </w:instrText>
      </w:r>
      <w:r>
        <w:rPr>
          <w:color w:val="auto"/>
        </w:rPr>
        <w:fldChar w:fldCharType="separate"/>
      </w:r>
      <w:r>
        <w:rPr>
          <w:color w:val="auto"/>
        </w:rPr>
        <w:fldChar w:fldCharType="begin"/>
      </w:r>
      <w:r>
        <w:rPr>
          <w:color w:val="auto"/>
        </w:rPr>
        <w:instrText xml:space="preserve"> HYPERLINK \l "_Toc79415207" </w:instrText>
      </w:r>
      <w:r>
        <w:rPr>
          <w:color w:val="auto"/>
        </w:rPr>
        <w:fldChar w:fldCharType="separate"/>
      </w:r>
      <w:r>
        <w:rPr>
          <w:rStyle w:val="23"/>
          <w:rFonts w:hint="eastAsia" w:cs="黑体"/>
          <w:color w:val="auto"/>
        </w:rPr>
        <w:t>总则</w:t>
      </w:r>
      <w:r>
        <w:rPr>
          <w:color w:val="auto"/>
        </w:rPr>
        <w:tab/>
      </w:r>
      <w:r>
        <w:rPr>
          <w:color w:val="auto"/>
        </w:rPr>
        <w:fldChar w:fldCharType="begin"/>
      </w:r>
      <w:r>
        <w:rPr>
          <w:color w:val="auto"/>
        </w:rPr>
        <w:instrText xml:space="preserve"> PAGEREF _Toc79415207 \h </w:instrText>
      </w:r>
      <w:r>
        <w:rPr>
          <w:color w:val="auto"/>
        </w:rPr>
        <w:fldChar w:fldCharType="separate"/>
      </w:r>
      <w:r>
        <w:rPr>
          <w:color w:val="auto"/>
        </w:rPr>
        <w:t>1</w:t>
      </w:r>
      <w:r>
        <w:rPr>
          <w:color w:val="auto"/>
        </w:rPr>
        <w:fldChar w:fldCharType="end"/>
      </w:r>
      <w:r>
        <w:rPr>
          <w:color w:val="auto"/>
        </w:rPr>
        <w:fldChar w:fldCharType="end"/>
      </w:r>
    </w:p>
    <w:p>
      <w:pPr>
        <w:pStyle w:val="16"/>
        <w:spacing w:line="360" w:lineRule="auto"/>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"_Toc79415208" </w:instrText>
      </w:r>
      <w:r>
        <w:rPr>
          <w:color w:val="auto"/>
        </w:rPr>
        <w:fldChar w:fldCharType="separate"/>
      </w:r>
      <w:r>
        <w:rPr>
          <w:rStyle w:val="23"/>
          <w:rFonts w:hint="eastAsia" w:cs="黑体"/>
          <w:color w:val="auto"/>
        </w:rPr>
        <w:t>一、现状与形势</w:t>
      </w:r>
      <w:r>
        <w:rPr>
          <w:color w:val="auto"/>
        </w:rPr>
        <w:tab/>
      </w:r>
      <w:r>
        <w:rPr>
          <w:color w:val="auto"/>
        </w:rPr>
        <w:fldChar w:fldCharType="begin"/>
      </w:r>
      <w:r>
        <w:rPr>
          <w:color w:val="auto"/>
        </w:rPr>
        <w:instrText xml:space="preserve"> PAGEREF _Toc79415208 \h </w:instrText>
      </w:r>
      <w:r>
        <w:rPr>
          <w:color w:val="auto"/>
        </w:rPr>
        <w:fldChar w:fldCharType="separate"/>
      </w:r>
      <w:r>
        <w:rPr>
          <w:color w:val="auto"/>
        </w:rPr>
        <w:t>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"_Toc79415209" </w:instrText>
      </w:r>
      <w:r>
        <w:rPr>
          <w:color w:val="auto"/>
        </w:rPr>
        <w:fldChar w:fldCharType="separate"/>
      </w:r>
      <w:r>
        <w:rPr>
          <w:rStyle w:val="23"/>
          <w:rFonts w:hint="eastAsia" w:eastAsia="楷体" w:cs="楷体"/>
          <w:color w:val="auto"/>
        </w:rPr>
        <w:t>（一）经济社会发展概况</w:t>
      </w:r>
      <w:r>
        <w:rPr>
          <w:color w:val="auto"/>
        </w:rPr>
        <w:tab/>
      </w:r>
      <w:r>
        <w:rPr>
          <w:color w:val="auto"/>
        </w:rPr>
        <w:fldChar w:fldCharType="begin"/>
      </w:r>
      <w:r>
        <w:rPr>
          <w:color w:val="auto"/>
        </w:rPr>
        <w:instrText xml:space="preserve"> PAGEREF _Toc79415209 \h </w:instrText>
      </w:r>
      <w:r>
        <w:rPr>
          <w:color w:val="auto"/>
        </w:rPr>
        <w:fldChar w:fldCharType="separate"/>
      </w:r>
      <w:r>
        <w:rPr>
          <w:color w:val="auto"/>
        </w:rPr>
        <w:t>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"_Toc79415210" </w:instrText>
      </w:r>
      <w:r>
        <w:rPr>
          <w:color w:val="auto"/>
        </w:rPr>
        <w:fldChar w:fldCharType="separate"/>
      </w:r>
      <w:r>
        <w:rPr>
          <w:rStyle w:val="23"/>
          <w:rFonts w:hint="eastAsia" w:eastAsia="楷体" w:cs="楷体"/>
          <w:color w:val="auto"/>
        </w:rPr>
        <w:t>（二）矿产资源勘查、开采与矿区生态修复保护现状</w:t>
      </w:r>
      <w:r>
        <w:rPr>
          <w:color w:val="auto"/>
        </w:rPr>
        <w:tab/>
      </w:r>
      <w:r>
        <w:rPr>
          <w:color w:val="auto"/>
        </w:rPr>
        <w:fldChar w:fldCharType="begin"/>
      </w:r>
      <w:r>
        <w:rPr>
          <w:color w:val="auto"/>
        </w:rPr>
        <w:instrText xml:space="preserve"> PAGEREF _Toc79415210 \h </w:instrText>
      </w:r>
      <w:r>
        <w:rPr>
          <w:color w:val="auto"/>
        </w:rPr>
        <w:fldChar w:fldCharType="separate"/>
      </w:r>
      <w:r>
        <w:rPr>
          <w:color w:val="auto"/>
        </w:rPr>
        <w:t>3</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"_Toc79415211" </w:instrText>
      </w:r>
      <w:r>
        <w:rPr>
          <w:color w:val="auto"/>
        </w:rPr>
        <w:fldChar w:fldCharType="separate"/>
      </w:r>
      <w:r>
        <w:rPr>
          <w:rStyle w:val="23"/>
          <w:rFonts w:hint="eastAsia" w:eastAsia="楷体" w:cs="楷体"/>
          <w:color w:val="auto"/>
        </w:rPr>
        <w:t>（三）矿业经济发展现状</w:t>
      </w:r>
      <w:r>
        <w:rPr>
          <w:color w:val="auto"/>
        </w:rPr>
        <w:tab/>
      </w:r>
      <w:r>
        <w:rPr>
          <w:color w:val="auto"/>
        </w:rPr>
        <w:fldChar w:fldCharType="begin"/>
      </w:r>
      <w:r>
        <w:rPr>
          <w:color w:val="auto"/>
        </w:rPr>
        <w:instrText xml:space="preserve"> PAGEREF _Toc79415211 \h </w:instrText>
      </w:r>
      <w:r>
        <w:rPr>
          <w:color w:val="auto"/>
        </w:rPr>
        <w:fldChar w:fldCharType="separate"/>
      </w:r>
      <w:r>
        <w:rPr>
          <w:color w:val="auto"/>
        </w:rPr>
        <w:t>4</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"_Toc79415212" </w:instrText>
      </w:r>
      <w:r>
        <w:rPr>
          <w:color w:val="auto"/>
        </w:rPr>
        <w:fldChar w:fldCharType="separate"/>
      </w:r>
      <w:r>
        <w:rPr>
          <w:rStyle w:val="23"/>
          <w:rFonts w:hint="eastAsia" w:eastAsia="楷体" w:cs="楷体"/>
          <w:color w:val="auto"/>
        </w:rPr>
        <w:t>（四）第三轮矿产资源规划实施取得成效</w:t>
      </w:r>
      <w:r>
        <w:rPr>
          <w:color w:val="auto"/>
        </w:rPr>
        <w:tab/>
      </w:r>
      <w:r>
        <w:rPr>
          <w:color w:val="auto"/>
        </w:rPr>
        <w:fldChar w:fldCharType="begin"/>
      </w:r>
      <w:r>
        <w:rPr>
          <w:color w:val="auto"/>
        </w:rPr>
        <w:instrText xml:space="preserve"> PAGEREF _Toc79415212 \h </w:instrText>
      </w:r>
      <w:r>
        <w:rPr>
          <w:color w:val="auto"/>
        </w:rPr>
        <w:fldChar w:fldCharType="separate"/>
      </w:r>
      <w:r>
        <w:rPr>
          <w:color w:val="auto"/>
        </w:rPr>
        <w:t>4</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"_Toc79415213" </w:instrText>
      </w:r>
      <w:r>
        <w:rPr>
          <w:color w:val="auto"/>
        </w:rPr>
        <w:fldChar w:fldCharType="separate"/>
      </w:r>
      <w:r>
        <w:rPr>
          <w:rStyle w:val="23"/>
          <w:rFonts w:hint="eastAsia" w:eastAsia="楷体" w:cs="楷体"/>
          <w:color w:val="auto"/>
        </w:rPr>
        <w:t>（五）存在问题和面临的形势</w:t>
      </w:r>
      <w:r>
        <w:rPr>
          <w:color w:val="auto"/>
        </w:rPr>
        <w:tab/>
      </w:r>
      <w:r>
        <w:rPr>
          <w:color w:val="auto"/>
        </w:rPr>
        <w:fldChar w:fldCharType="begin"/>
      </w:r>
      <w:r>
        <w:rPr>
          <w:color w:val="auto"/>
        </w:rPr>
        <w:instrText xml:space="preserve"> PAGEREF _Toc79415213 \h </w:instrText>
      </w:r>
      <w:r>
        <w:rPr>
          <w:color w:val="auto"/>
        </w:rPr>
        <w:fldChar w:fldCharType="separate"/>
      </w:r>
      <w:r>
        <w:rPr>
          <w:color w:val="auto"/>
        </w:rPr>
        <w:t>5</w:t>
      </w:r>
      <w:r>
        <w:rPr>
          <w:color w:val="auto"/>
        </w:rPr>
        <w:fldChar w:fldCharType="end"/>
      </w:r>
      <w:r>
        <w:rPr>
          <w:color w:val="auto"/>
        </w:rPr>
        <w:fldChar w:fldCharType="end"/>
      </w:r>
    </w:p>
    <w:p>
      <w:pPr>
        <w:pStyle w:val="16"/>
        <w:spacing w:line="360" w:lineRule="auto"/>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"_Toc79415214" </w:instrText>
      </w:r>
      <w:r>
        <w:rPr>
          <w:color w:val="auto"/>
        </w:rPr>
        <w:fldChar w:fldCharType="separate"/>
      </w:r>
      <w:r>
        <w:rPr>
          <w:rStyle w:val="23"/>
          <w:rFonts w:hint="eastAsia" w:cs="黑体"/>
          <w:color w:val="auto"/>
        </w:rPr>
        <w:t>二、指导思想、原则与目标</w:t>
      </w:r>
      <w:r>
        <w:rPr>
          <w:color w:val="auto"/>
        </w:rPr>
        <w:tab/>
      </w:r>
      <w:r>
        <w:rPr>
          <w:color w:val="auto"/>
        </w:rPr>
        <w:fldChar w:fldCharType="begin"/>
      </w:r>
      <w:r>
        <w:rPr>
          <w:color w:val="auto"/>
        </w:rPr>
        <w:instrText xml:space="preserve"> PAGEREF _Toc79415214 \h </w:instrText>
      </w:r>
      <w:r>
        <w:rPr>
          <w:color w:val="auto"/>
        </w:rPr>
        <w:fldChar w:fldCharType="separate"/>
      </w:r>
      <w:r>
        <w:rPr>
          <w:color w:val="auto"/>
        </w:rPr>
        <w:t>8</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"_Toc79415215" </w:instrText>
      </w:r>
      <w:r>
        <w:rPr>
          <w:color w:val="auto"/>
        </w:rPr>
        <w:fldChar w:fldCharType="separate"/>
      </w:r>
      <w:r>
        <w:rPr>
          <w:rStyle w:val="23"/>
          <w:rFonts w:hint="eastAsia" w:eastAsia="楷体" w:cs="楷体"/>
          <w:color w:val="auto"/>
        </w:rPr>
        <w:t>（一）指导思想</w:t>
      </w:r>
      <w:r>
        <w:rPr>
          <w:color w:val="auto"/>
        </w:rPr>
        <w:tab/>
      </w:r>
      <w:r>
        <w:rPr>
          <w:color w:val="auto"/>
        </w:rPr>
        <w:fldChar w:fldCharType="begin"/>
      </w:r>
      <w:r>
        <w:rPr>
          <w:color w:val="auto"/>
        </w:rPr>
        <w:instrText xml:space="preserve"> PAGEREF _Toc79415215 \h </w:instrText>
      </w:r>
      <w:r>
        <w:rPr>
          <w:color w:val="auto"/>
        </w:rPr>
        <w:fldChar w:fldCharType="separate"/>
      </w:r>
      <w:r>
        <w:rPr>
          <w:color w:val="auto"/>
        </w:rPr>
        <w:t>8</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"_Toc79415216" </w:instrText>
      </w:r>
      <w:r>
        <w:rPr>
          <w:color w:val="auto"/>
        </w:rPr>
        <w:fldChar w:fldCharType="separate"/>
      </w:r>
      <w:r>
        <w:rPr>
          <w:rStyle w:val="23"/>
          <w:rFonts w:hint="eastAsia" w:eastAsia="楷体" w:cs="楷体"/>
          <w:color w:val="auto"/>
        </w:rPr>
        <w:t>（二）基本原则</w:t>
      </w:r>
      <w:r>
        <w:rPr>
          <w:color w:val="auto"/>
        </w:rPr>
        <w:tab/>
      </w:r>
      <w:r>
        <w:rPr>
          <w:color w:val="auto"/>
        </w:rPr>
        <w:fldChar w:fldCharType="begin"/>
      </w:r>
      <w:r>
        <w:rPr>
          <w:color w:val="auto"/>
        </w:rPr>
        <w:instrText xml:space="preserve"> PAGEREF _Toc79415216 \h </w:instrText>
      </w:r>
      <w:r>
        <w:rPr>
          <w:color w:val="auto"/>
        </w:rPr>
        <w:fldChar w:fldCharType="separate"/>
      </w:r>
      <w:r>
        <w:rPr>
          <w:color w:val="auto"/>
        </w:rPr>
        <w:t>8</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"_Toc79415217" </w:instrText>
      </w:r>
      <w:r>
        <w:rPr>
          <w:color w:val="auto"/>
        </w:rPr>
        <w:fldChar w:fldCharType="separate"/>
      </w:r>
      <w:r>
        <w:rPr>
          <w:rStyle w:val="23"/>
          <w:rFonts w:hint="eastAsia" w:eastAsia="楷体" w:cs="楷体"/>
          <w:color w:val="auto"/>
        </w:rPr>
        <w:t>（三）规划目标</w:t>
      </w:r>
      <w:r>
        <w:rPr>
          <w:color w:val="auto"/>
        </w:rPr>
        <w:tab/>
      </w:r>
      <w:r>
        <w:rPr>
          <w:color w:val="auto"/>
        </w:rPr>
        <w:fldChar w:fldCharType="begin"/>
      </w:r>
      <w:r>
        <w:rPr>
          <w:color w:val="auto"/>
        </w:rPr>
        <w:instrText xml:space="preserve"> PAGEREF _Toc79415217 \h </w:instrText>
      </w:r>
      <w:r>
        <w:rPr>
          <w:color w:val="auto"/>
        </w:rPr>
        <w:fldChar w:fldCharType="separate"/>
      </w:r>
      <w:r>
        <w:rPr>
          <w:color w:val="auto"/>
        </w:rPr>
        <w:t>9</w:t>
      </w:r>
      <w:r>
        <w:rPr>
          <w:color w:val="auto"/>
        </w:rPr>
        <w:fldChar w:fldCharType="end"/>
      </w:r>
      <w:r>
        <w:rPr>
          <w:color w:val="auto"/>
        </w:rPr>
        <w:fldChar w:fldCharType="end"/>
      </w:r>
    </w:p>
    <w:p>
      <w:pPr>
        <w:pStyle w:val="16"/>
        <w:spacing w:line="360" w:lineRule="auto"/>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"_Toc79415218" </w:instrText>
      </w:r>
      <w:r>
        <w:rPr>
          <w:color w:val="auto"/>
        </w:rPr>
        <w:fldChar w:fldCharType="separate"/>
      </w:r>
      <w:r>
        <w:rPr>
          <w:rStyle w:val="23"/>
          <w:rFonts w:hint="eastAsia" w:ascii="黑体" w:cs="黑体"/>
          <w:color w:val="auto"/>
        </w:rPr>
        <w:t>三、矿产勘查开发与保护布局</w:t>
      </w:r>
      <w:r>
        <w:rPr>
          <w:color w:val="auto"/>
        </w:rPr>
        <w:tab/>
      </w:r>
      <w:r>
        <w:rPr>
          <w:color w:val="auto"/>
        </w:rPr>
        <w:fldChar w:fldCharType="begin"/>
      </w:r>
      <w:r>
        <w:rPr>
          <w:color w:val="auto"/>
        </w:rPr>
        <w:instrText xml:space="preserve"> PAGEREF _Toc79415218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"_Toc79415219" </w:instrText>
      </w:r>
      <w:r>
        <w:rPr>
          <w:color w:val="auto"/>
        </w:rPr>
        <w:fldChar w:fldCharType="separate"/>
      </w:r>
      <w:r>
        <w:rPr>
          <w:rStyle w:val="23"/>
          <w:rFonts w:hint="eastAsia" w:ascii="楷体" w:hAnsi="楷体" w:eastAsia="楷体" w:cs="楷体"/>
          <w:color w:val="auto"/>
        </w:rPr>
        <w:t>（一）矿产资源勘查开采调控方向</w:t>
      </w:r>
      <w:r>
        <w:rPr>
          <w:color w:val="auto"/>
        </w:rPr>
        <w:tab/>
      </w:r>
      <w:r>
        <w:rPr>
          <w:color w:val="auto"/>
        </w:rPr>
        <w:fldChar w:fldCharType="begin"/>
      </w:r>
      <w:r>
        <w:rPr>
          <w:color w:val="auto"/>
        </w:rPr>
        <w:instrText xml:space="preserve"> PAGEREF _Toc79415219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"_Toc79415220" </w:instrText>
      </w:r>
      <w:r>
        <w:rPr>
          <w:color w:val="auto"/>
        </w:rPr>
        <w:fldChar w:fldCharType="separate"/>
      </w:r>
      <w:r>
        <w:rPr>
          <w:rStyle w:val="23"/>
          <w:rFonts w:hint="eastAsia" w:ascii="楷体" w:hAnsi="楷体" w:eastAsia="楷体" w:cs="楷体"/>
          <w:color w:val="auto"/>
        </w:rPr>
        <w:t>（二）矿产资源产业重点发展区域</w:t>
      </w:r>
      <w:r>
        <w:rPr>
          <w:color w:val="auto"/>
        </w:rPr>
        <w:tab/>
      </w:r>
      <w:r>
        <w:rPr>
          <w:color w:val="auto"/>
        </w:rPr>
        <w:fldChar w:fldCharType="begin"/>
      </w:r>
      <w:r>
        <w:rPr>
          <w:color w:val="auto"/>
        </w:rPr>
        <w:instrText xml:space="preserve"> PAGEREF _Toc79415220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"_Toc79415221" </w:instrText>
      </w:r>
      <w:r>
        <w:rPr>
          <w:color w:val="auto"/>
        </w:rPr>
        <w:fldChar w:fldCharType="separate"/>
      </w:r>
      <w:r>
        <w:rPr>
          <w:rStyle w:val="23"/>
          <w:rFonts w:hint="eastAsia" w:ascii="楷体" w:hAnsi="楷体" w:eastAsia="楷体" w:cs="楷体"/>
          <w:color w:val="auto"/>
        </w:rPr>
        <w:t>（三）勘查开采与保护布局</w:t>
      </w:r>
      <w:r>
        <w:rPr>
          <w:color w:val="auto"/>
        </w:rPr>
        <w:tab/>
      </w:r>
      <w:r>
        <w:rPr>
          <w:color w:val="auto"/>
        </w:rPr>
        <w:fldChar w:fldCharType="begin"/>
      </w:r>
      <w:r>
        <w:rPr>
          <w:color w:val="auto"/>
        </w:rPr>
        <w:instrText xml:space="preserve"> PAGEREF _Toc79415221 \h </w:instrText>
      </w:r>
      <w:r>
        <w:rPr>
          <w:color w:val="auto"/>
        </w:rPr>
        <w:fldChar w:fldCharType="separate"/>
      </w:r>
      <w:r>
        <w:rPr>
          <w:color w:val="auto"/>
        </w:rPr>
        <w:t>12</w:t>
      </w:r>
      <w:r>
        <w:rPr>
          <w:color w:val="auto"/>
        </w:rPr>
        <w:fldChar w:fldCharType="end"/>
      </w:r>
      <w:r>
        <w:rPr>
          <w:color w:val="auto"/>
        </w:rPr>
        <w:fldChar w:fldCharType="end"/>
      </w:r>
    </w:p>
    <w:p>
      <w:pPr>
        <w:pStyle w:val="16"/>
        <w:spacing w:line="360" w:lineRule="auto"/>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"_Toc79415222" </w:instrText>
      </w:r>
      <w:r>
        <w:rPr>
          <w:color w:val="auto"/>
        </w:rPr>
        <w:fldChar w:fldCharType="separate"/>
      </w:r>
      <w:r>
        <w:rPr>
          <w:rStyle w:val="23"/>
          <w:rFonts w:hint="eastAsia" w:ascii="黑体" w:cs="黑体"/>
          <w:color w:val="auto"/>
        </w:rPr>
        <w:t>四、矿产资源调查评价与勘查</w:t>
      </w:r>
      <w:r>
        <w:rPr>
          <w:color w:val="auto"/>
        </w:rPr>
        <w:tab/>
      </w:r>
      <w:r>
        <w:rPr>
          <w:color w:val="auto"/>
        </w:rPr>
        <w:fldChar w:fldCharType="begin"/>
      </w:r>
      <w:r>
        <w:rPr>
          <w:color w:val="auto"/>
        </w:rPr>
        <w:instrText xml:space="preserve"> PAGEREF _Toc79415222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"_Toc79415223" </w:instrText>
      </w:r>
      <w:r>
        <w:rPr>
          <w:color w:val="auto"/>
        </w:rPr>
        <w:fldChar w:fldCharType="separate"/>
      </w:r>
      <w:r>
        <w:rPr>
          <w:rStyle w:val="23"/>
          <w:rFonts w:hint="eastAsia" w:ascii="楷体" w:hAnsi="楷体" w:eastAsia="楷体" w:cs="楷体"/>
          <w:color w:val="auto"/>
        </w:rPr>
        <w:t>（一）地质调查评价</w:t>
      </w:r>
      <w:r>
        <w:rPr>
          <w:color w:val="auto"/>
        </w:rPr>
        <w:tab/>
      </w:r>
      <w:r>
        <w:rPr>
          <w:color w:val="auto"/>
        </w:rPr>
        <w:fldChar w:fldCharType="begin"/>
      </w:r>
      <w:r>
        <w:rPr>
          <w:color w:val="auto"/>
        </w:rPr>
        <w:instrText xml:space="preserve"> PAGEREF _Toc79415223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"_Toc79415224" </w:instrText>
      </w:r>
      <w:r>
        <w:rPr>
          <w:color w:val="auto"/>
        </w:rPr>
        <w:fldChar w:fldCharType="separate"/>
      </w:r>
      <w:r>
        <w:rPr>
          <w:rStyle w:val="23"/>
          <w:rFonts w:hint="eastAsia" w:ascii="楷体" w:hAnsi="楷体" w:eastAsia="楷体" w:cs="楷体"/>
          <w:color w:val="auto"/>
        </w:rPr>
        <w:t>（二）矿产资源勘查</w:t>
      </w:r>
      <w:r>
        <w:rPr>
          <w:color w:val="auto"/>
        </w:rPr>
        <w:tab/>
      </w:r>
      <w:r>
        <w:rPr>
          <w:color w:val="auto"/>
        </w:rPr>
        <w:fldChar w:fldCharType="begin"/>
      </w:r>
      <w:r>
        <w:rPr>
          <w:color w:val="auto"/>
        </w:rPr>
        <w:instrText xml:space="preserve"> PAGEREF _Toc79415224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"_Toc79415225" </w:instrText>
      </w:r>
      <w:r>
        <w:rPr>
          <w:color w:val="auto"/>
        </w:rPr>
        <w:fldChar w:fldCharType="separate"/>
      </w:r>
      <w:r>
        <w:rPr>
          <w:rStyle w:val="23"/>
          <w:rFonts w:hint="eastAsia" w:ascii="楷体" w:hAnsi="楷体" w:eastAsia="楷体" w:cs="楷体"/>
          <w:color w:val="auto"/>
        </w:rPr>
        <w:t>（三）勘查规划区块</w:t>
      </w:r>
      <w:r>
        <w:rPr>
          <w:color w:val="auto"/>
        </w:rPr>
        <w:tab/>
      </w:r>
      <w:r>
        <w:rPr>
          <w:color w:val="auto"/>
        </w:rPr>
        <w:fldChar w:fldCharType="begin"/>
      </w:r>
      <w:r>
        <w:rPr>
          <w:color w:val="auto"/>
        </w:rPr>
        <w:instrText xml:space="preserve"> PAGEREF _Toc79415225 \h </w:instrText>
      </w:r>
      <w:r>
        <w:rPr>
          <w:color w:val="auto"/>
        </w:rPr>
        <w:fldChar w:fldCharType="separate"/>
      </w:r>
      <w:r>
        <w:rPr>
          <w:color w:val="auto"/>
        </w:rPr>
        <w:t>12</w:t>
      </w:r>
      <w:r>
        <w:rPr>
          <w:color w:val="auto"/>
        </w:rPr>
        <w:fldChar w:fldCharType="end"/>
      </w:r>
      <w:r>
        <w:rPr>
          <w:color w:val="auto"/>
        </w:rPr>
        <w:fldChar w:fldCharType="end"/>
      </w:r>
    </w:p>
    <w:p>
      <w:pPr>
        <w:pStyle w:val="16"/>
        <w:spacing w:line="360" w:lineRule="auto"/>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"_Toc79415226" </w:instrText>
      </w:r>
      <w:r>
        <w:rPr>
          <w:color w:val="auto"/>
        </w:rPr>
        <w:fldChar w:fldCharType="separate"/>
      </w:r>
      <w:r>
        <w:rPr>
          <w:rStyle w:val="23"/>
          <w:rFonts w:hint="eastAsia" w:ascii="黑体" w:cs="黑体"/>
          <w:color w:val="auto"/>
        </w:rPr>
        <w:t>五、矿产资源开发利用与保护</w:t>
      </w:r>
      <w:r>
        <w:rPr>
          <w:color w:val="auto"/>
        </w:rPr>
        <w:tab/>
      </w:r>
      <w:r>
        <w:rPr>
          <w:color w:val="auto"/>
        </w:rPr>
        <w:fldChar w:fldCharType="begin"/>
      </w:r>
      <w:r>
        <w:rPr>
          <w:color w:val="auto"/>
        </w:rPr>
        <w:instrText xml:space="preserve"> PAGEREF _Toc79415226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"_Toc79415227" </w:instrText>
      </w:r>
      <w:r>
        <w:rPr>
          <w:color w:val="auto"/>
        </w:rPr>
        <w:fldChar w:fldCharType="separate"/>
      </w:r>
      <w:r>
        <w:rPr>
          <w:rStyle w:val="23"/>
          <w:rFonts w:hint="eastAsia" w:ascii="楷体" w:hAnsi="楷体" w:eastAsia="楷体" w:cs="楷体"/>
          <w:color w:val="auto"/>
        </w:rPr>
        <w:t>（一）合理确定开发强度</w:t>
      </w:r>
      <w:r>
        <w:rPr>
          <w:color w:val="auto"/>
        </w:rPr>
        <w:tab/>
      </w:r>
      <w:r>
        <w:rPr>
          <w:color w:val="auto"/>
        </w:rPr>
        <w:fldChar w:fldCharType="begin"/>
      </w:r>
      <w:r>
        <w:rPr>
          <w:color w:val="auto"/>
        </w:rPr>
        <w:instrText xml:space="preserve"> PAGEREF _Toc79415227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"_Toc79415228" </w:instrText>
      </w:r>
      <w:r>
        <w:rPr>
          <w:color w:val="auto"/>
        </w:rPr>
        <w:fldChar w:fldCharType="separate"/>
      </w:r>
      <w:r>
        <w:rPr>
          <w:rStyle w:val="23"/>
          <w:rFonts w:hint="eastAsia" w:ascii="楷体" w:hAnsi="楷体" w:eastAsia="楷体" w:cs="楷体"/>
          <w:color w:val="auto"/>
        </w:rPr>
        <w:t>（二）优化开发利用结构</w:t>
      </w:r>
      <w:r>
        <w:rPr>
          <w:color w:val="auto"/>
        </w:rPr>
        <w:tab/>
      </w:r>
      <w:r>
        <w:rPr>
          <w:color w:val="auto"/>
        </w:rPr>
        <w:fldChar w:fldCharType="begin"/>
      </w:r>
      <w:r>
        <w:rPr>
          <w:color w:val="auto"/>
        </w:rPr>
        <w:instrText xml:space="preserve"> PAGEREF _Toc79415228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"_Toc79415229" </w:instrText>
      </w:r>
      <w:r>
        <w:rPr>
          <w:color w:val="auto"/>
        </w:rPr>
        <w:fldChar w:fldCharType="separate"/>
      </w:r>
      <w:r>
        <w:rPr>
          <w:rStyle w:val="23"/>
          <w:rFonts w:hint="eastAsia" w:ascii="楷体" w:hAnsi="楷体" w:eastAsia="楷体" w:cs="楷体"/>
          <w:color w:val="auto"/>
        </w:rPr>
        <w:t>（三）严格规划准入管理</w:t>
      </w:r>
      <w:r>
        <w:rPr>
          <w:color w:val="auto"/>
        </w:rPr>
        <w:tab/>
      </w:r>
      <w:r>
        <w:rPr>
          <w:color w:val="auto"/>
        </w:rPr>
        <w:fldChar w:fldCharType="begin"/>
      </w:r>
      <w:r>
        <w:rPr>
          <w:color w:val="auto"/>
        </w:rPr>
        <w:instrText xml:space="preserve"> PAGEREF _Toc79415229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"_Toc79415230" </w:instrText>
      </w:r>
      <w:r>
        <w:rPr>
          <w:color w:val="auto"/>
        </w:rPr>
        <w:fldChar w:fldCharType="separate"/>
      </w:r>
      <w:r>
        <w:rPr>
          <w:rStyle w:val="23"/>
          <w:rFonts w:hint="eastAsia" w:ascii="楷体" w:hAnsi="楷体" w:eastAsia="楷体" w:cs="楷体"/>
          <w:color w:val="auto"/>
        </w:rPr>
        <w:t>（四）开采规划区块</w:t>
      </w:r>
      <w:r>
        <w:rPr>
          <w:color w:val="auto"/>
        </w:rPr>
        <w:tab/>
      </w:r>
      <w:r>
        <w:rPr>
          <w:color w:val="auto"/>
        </w:rPr>
        <w:fldChar w:fldCharType="begin"/>
      </w:r>
      <w:r>
        <w:rPr>
          <w:color w:val="auto"/>
        </w:rPr>
        <w:instrText xml:space="preserve"> PAGEREF _Toc79415230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"_Toc79415231" </w:instrText>
      </w:r>
      <w:r>
        <w:rPr>
          <w:color w:val="auto"/>
        </w:rPr>
        <w:fldChar w:fldCharType="separate"/>
      </w:r>
      <w:r>
        <w:rPr>
          <w:rStyle w:val="23"/>
          <w:rFonts w:hint="eastAsia" w:ascii="楷体" w:hAnsi="楷体" w:eastAsia="楷体" w:cs="楷体"/>
          <w:color w:val="auto"/>
        </w:rPr>
        <w:t>（五）规范砂石资源开发利用</w:t>
      </w:r>
      <w:r>
        <w:rPr>
          <w:color w:val="auto"/>
        </w:rPr>
        <w:tab/>
      </w:r>
      <w:r>
        <w:rPr>
          <w:color w:val="auto"/>
        </w:rPr>
        <w:fldChar w:fldCharType="begin"/>
      </w:r>
      <w:r>
        <w:rPr>
          <w:color w:val="auto"/>
        </w:rPr>
        <w:instrText xml:space="preserve"> PAGEREF _Toc79415231 \h </w:instrText>
      </w:r>
      <w:r>
        <w:rPr>
          <w:color w:val="auto"/>
        </w:rPr>
        <w:fldChar w:fldCharType="separate"/>
      </w:r>
      <w:r>
        <w:rPr>
          <w:color w:val="auto"/>
        </w:rPr>
        <w:t>12</w:t>
      </w:r>
      <w:r>
        <w:rPr>
          <w:color w:val="auto"/>
        </w:rPr>
        <w:fldChar w:fldCharType="end"/>
      </w:r>
      <w:r>
        <w:rPr>
          <w:color w:val="auto"/>
        </w:rPr>
        <w:fldChar w:fldCharType="end"/>
      </w:r>
    </w:p>
    <w:p>
      <w:pPr>
        <w:pStyle w:val="16"/>
        <w:spacing w:line="360" w:lineRule="auto"/>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"_Toc79415232" </w:instrText>
      </w:r>
      <w:r>
        <w:rPr>
          <w:color w:val="auto"/>
        </w:rPr>
        <w:fldChar w:fldCharType="separate"/>
      </w:r>
      <w:r>
        <w:rPr>
          <w:rStyle w:val="23"/>
          <w:rFonts w:hint="eastAsia" w:ascii="黑体" w:cs="黑体"/>
          <w:color w:val="auto"/>
        </w:rPr>
        <w:t>六、绿色矿山建设和矿区生态保护</w:t>
      </w:r>
      <w:r>
        <w:rPr>
          <w:color w:val="auto"/>
        </w:rPr>
        <w:tab/>
      </w:r>
      <w:r>
        <w:rPr>
          <w:color w:val="auto"/>
        </w:rPr>
        <w:fldChar w:fldCharType="begin"/>
      </w:r>
      <w:r>
        <w:rPr>
          <w:color w:val="auto"/>
        </w:rPr>
        <w:instrText xml:space="preserve"> PAGEREF _Toc79415232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"_Toc79415233" </w:instrText>
      </w:r>
      <w:r>
        <w:rPr>
          <w:color w:val="auto"/>
        </w:rPr>
        <w:fldChar w:fldCharType="separate"/>
      </w:r>
      <w:r>
        <w:rPr>
          <w:rStyle w:val="23"/>
          <w:rFonts w:hint="eastAsia" w:ascii="楷体" w:hAnsi="楷体" w:eastAsia="楷体" w:cs="楷体"/>
          <w:color w:val="auto"/>
        </w:rPr>
        <w:t>（一）绿色矿山建设</w:t>
      </w:r>
      <w:r>
        <w:rPr>
          <w:color w:val="auto"/>
        </w:rPr>
        <w:tab/>
      </w:r>
      <w:r>
        <w:rPr>
          <w:color w:val="auto"/>
        </w:rPr>
        <w:fldChar w:fldCharType="begin"/>
      </w:r>
      <w:r>
        <w:rPr>
          <w:color w:val="auto"/>
        </w:rPr>
        <w:instrText xml:space="preserve"> PAGEREF _Toc79415233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"_Toc79415234" </w:instrText>
      </w:r>
      <w:r>
        <w:rPr>
          <w:color w:val="auto"/>
        </w:rPr>
        <w:fldChar w:fldCharType="separate"/>
      </w:r>
      <w:r>
        <w:rPr>
          <w:rStyle w:val="23"/>
          <w:rFonts w:hint="eastAsia" w:ascii="楷体" w:hAnsi="楷体" w:eastAsia="楷体" w:cs="楷体"/>
          <w:color w:val="auto"/>
        </w:rPr>
        <w:t>（二）矿区生态保护修复</w:t>
      </w:r>
      <w:r>
        <w:rPr>
          <w:color w:val="auto"/>
        </w:rPr>
        <w:tab/>
      </w:r>
      <w:r>
        <w:rPr>
          <w:color w:val="auto"/>
        </w:rPr>
        <w:fldChar w:fldCharType="begin"/>
      </w:r>
      <w:r>
        <w:rPr>
          <w:color w:val="auto"/>
        </w:rPr>
        <w:instrText xml:space="preserve"> PAGEREF _Toc79415234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"_Toc79415235" </w:instrText>
      </w:r>
      <w:r>
        <w:rPr>
          <w:color w:val="auto"/>
        </w:rPr>
        <w:fldChar w:fldCharType="separate"/>
      </w:r>
      <w:r>
        <w:rPr>
          <w:rStyle w:val="23"/>
          <w:rFonts w:hint="eastAsia" w:ascii="楷体" w:hAnsi="楷体" w:eastAsia="楷体" w:cs="楷体"/>
          <w:color w:val="auto"/>
        </w:rPr>
        <w:t>（三）创新矿山地质环境恢复治理工作机制</w:t>
      </w:r>
      <w:r>
        <w:rPr>
          <w:color w:val="auto"/>
        </w:rPr>
        <w:tab/>
      </w:r>
      <w:r>
        <w:rPr>
          <w:color w:val="auto"/>
        </w:rPr>
        <w:fldChar w:fldCharType="begin"/>
      </w:r>
      <w:r>
        <w:rPr>
          <w:color w:val="auto"/>
        </w:rPr>
        <w:instrText xml:space="preserve"> PAGEREF _Toc79415235 \h </w:instrText>
      </w:r>
      <w:r>
        <w:rPr>
          <w:color w:val="auto"/>
        </w:rPr>
        <w:fldChar w:fldCharType="separate"/>
      </w:r>
      <w:r>
        <w:rPr>
          <w:color w:val="auto"/>
        </w:rPr>
        <w:t>12</w:t>
      </w:r>
      <w:r>
        <w:rPr>
          <w:color w:val="auto"/>
        </w:rPr>
        <w:fldChar w:fldCharType="end"/>
      </w:r>
      <w:r>
        <w:rPr>
          <w:color w:val="auto"/>
        </w:rPr>
        <w:fldChar w:fldCharType="end"/>
      </w:r>
    </w:p>
    <w:p>
      <w:pPr>
        <w:pStyle w:val="16"/>
        <w:spacing w:line="360" w:lineRule="auto"/>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"_Toc79415236" </w:instrText>
      </w:r>
      <w:r>
        <w:rPr>
          <w:color w:val="auto"/>
        </w:rPr>
        <w:fldChar w:fldCharType="separate"/>
      </w:r>
      <w:r>
        <w:rPr>
          <w:rStyle w:val="23"/>
          <w:rFonts w:hint="eastAsia" w:ascii="黑体" w:cs="黑体"/>
          <w:color w:val="auto"/>
        </w:rPr>
        <w:t>七、规划环境影响评价</w:t>
      </w:r>
      <w:r>
        <w:rPr>
          <w:color w:val="auto"/>
        </w:rPr>
        <w:tab/>
      </w:r>
      <w:r>
        <w:rPr>
          <w:color w:val="auto"/>
        </w:rPr>
        <w:fldChar w:fldCharType="begin"/>
      </w:r>
      <w:r>
        <w:rPr>
          <w:color w:val="auto"/>
        </w:rPr>
        <w:instrText xml:space="preserve"> PAGEREF _Toc79415236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"_Toc79415237" </w:instrText>
      </w:r>
      <w:r>
        <w:rPr>
          <w:color w:val="auto"/>
        </w:rPr>
        <w:fldChar w:fldCharType="separate"/>
      </w:r>
      <w:r>
        <w:rPr>
          <w:rStyle w:val="23"/>
          <w:rFonts w:hint="eastAsia" w:ascii="楷体" w:hAnsi="楷体" w:eastAsia="楷体" w:cs="楷体"/>
          <w:color w:val="auto"/>
        </w:rPr>
        <w:t>（一）环境现状评价</w:t>
      </w:r>
      <w:r>
        <w:rPr>
          <w:color w:val="auto"/>
        </w:rPr>
        <w:tab/>
      </w:r>
      <w:r>
        <w:rPr>
          <w:color w:val="auto"/>
        </w:rPr>
        <w:fldChar w:fldCharType="begin"/>
      </w:r>
      <w:r>
        <w:rPr>
          <w:color w:val="auto"/>
        </w:rPr>
        <w:instrText xml:space="preserve"> PAGEREF _Toc79415237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"_Toc79415238" </w:instrText>
      </w:r>
      <w:r>
        <w:rPr>
          <w:color w:val="auto"/>
        </w:rPr>
        <w:fldChar w:fldCharType="separate"/>
      </w:r>
      <w:r>
        <w:rPr>
          <w:rStyle w:val="23"/>
          <w:rFonts w:hint="eastAsia" w:ascii="楷体" w:hAnsi="楷体" w:eastAsia="楷体" w:cs="楷体"/>
          <w:color w:val="auto"/>
        </w:rPr>
        <w:t>（二）规划协调性分析</w:t>
      </w:r>
      <w:r>
        <w:rPr>
          <w:color w:val="auto"/>
        </w:rPr>
        <w:tab/>
      </w:r>
      <w:r>
        <w:rPr>
          <w:color w:val="auto"/>
        </w:rPr>
        <w:fldChar w:fldCharType="begin"/>
      </w:r>
      <w:r>
        <w:rPr>
          <w:color w:val="auto"/>
        </w:rPr>
        <w:instrText xml:space="preserve"> PAGEREF _Toc79415238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"_Toc79415239" </w:instrText>
      </w:r>
      <w:r>
        <w:rPr>
          <w:color w:val="auto"/>
        </w:rPr>
        <w:fldChar w:fldCharType="separate"/>
      </w:r>
      <w:r>
        <w:rPr>
          <w:rStyle w:val="23"/>
          <w:rFonts w:hint="eastAsia" w:ascii="楷体" w:hAnsi="楷体" w:eastAsia="楷体" w:cs="楷体"/>
          <w:color w:val="auto"/>
        </w:rPr>
        <w:t>（三）规划环境影响分析</w:t>
      </w:r>
      <w:r>
        <w:rPr>
          <w:color w:val="auto"/>
        </w:rPr>
        <w:tab/>
      </w:r>
      <w:r>
        <w:rPr>
          <w:color w:val="auto"/>
        </w:rPr>
        <w:fldChar w:fldCharType="begin"/>
      </w:r>
      <w:r>
        <w:rPr>
          <w:color w:val="auto"/>
        </w:rPr>
        <w:instrText xml:space="preserve"> PAGEREF _Toc79415239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"_Toc79415240" </w:instrText>
      </w:r>
      <w:r>
        <w:rPr>
          <w:color w:val="auto"/>
        </w:rPr>
        <w:fldChar w:fldCharType="separate"/>
      </w:r>
      <w:r>
        <w:rPr>
          <w:rStyle w:val="23"/>
          <w:rFonts w:hint="eastAsia" w:ascii="楷体" w:hAnsi="楷体" w:eastAsia="楷体" w:cs="楷体"/>
          <w:color w:val="auto"/>
        </w:rPr>
        <w:t>（四）预防和减轻不良环境影响的对策措施</w:t>
      </w:r>
      <w:r>
        <w:rPr>
          <w:color w:val="auto"/>
        </w:rPr>
        <w:tab/>
      </w:r>
      <w:r>
        <w:rPr>
          <w:color w:val="auto"/>
        </w:rPr>
        <w:fldChar w:fldCharType="begin"/>
      </w:r>
      <w:r>
        <w:rPr>
          <w:color w:val="auto"/>
        </w:rPr>
        <w:instrText xml:space="preserve"> PAGEREF _Toc79415240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"_Toc79415241" </w:instrText>
      </w:r>
      <w:r>
        <w:rPr>
          <w:color w:val="auto"/>
        </w:rPr>
        <w:fldChar w:fldCharType="separate"/>
      </w:r>
      <w:r>
        <w:rPr>
          <w:rStyle w:val="23"/>
          <w:rFonts w:hint="eastAsia" w:ascii="楷体" w:hAnsi="楷体" w:eastAsia="楷体" w:cs="楷体"/>
          <w:color w:val="auto"/>
        </w:rPr>
        <w:t>（五）矿区生态保护修复与治理目标安排的合理性</w:t>
      </w:r>
      <w:r>
        <w:rPr>
          <w:color w:val="auto"/>
        </w:rPr>
        <w:tab/>
      </w:r>
      <w:r>
        <w:rPr>
          <w:color w:val="auto"/>
        </w:rPr>
        <w:fldChar w:fldCharType="begin"/>
      </w:r>
      <w:r>
        <w:rPr>
          <w:color w:val="auto"/>
        </w:rPr>
        <w:instrText xml:space="preserve"> PAGEREF _Toc79415241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"_Toc79415242" </w:instrText>
      </w:r>
      <w:r>
        <w:rPr>
          <w:color w:val="auto"/>
        </w:rPr>
        <w:fldChar w:fldCharType="separate"/>
      </w:r>
      <w:r>
        <w:rPr>
          <w:rStyle w:val="23"/>
          <w:rFonts w:hint="eastAsia" w:ascii="楷体" w:hAnsi="楷体" w:eastAsia="楷体" w:cs="楷体"/>
          <w:color w:val="auto"/>
        </w:rPr>
        <w:t>（六）规划准入条件的有效性</w:t>
      </w:r>
      <w:r>
        <w:rPr>
          <w:color w:val="auto"/>
        </w:rPr>
        <w:tab/>
      </w:r>
      <w:r>
        <w:rPr>
          <w:color w:val="auto"/>
        </w:rPr>
        <w:fldChar w:fldCharType="begin"/>
      </w:r>
      <w:r>
        <w:rPr>
          <w:color w:val="auto"/>
        </w:rPr>
        <w:instrText xml:space="preserve"> PAGEREF _Toc79415242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"_Toc79415243" </w:instrText>
      </w:r>
      <w:r>
        <w:rPr>
          <w:color w:val="auto"/>
        </w:rPr>
        <w:fldChar w:fldCharType="separate"/>
      </w:r>
      <w:r>
        <w:rPr>
          <w:rStyle w:val="23"/>
          <w:rFonts w:hint="eastAsia" w:ascii="楷体" w:hAnsi="楷体" w:eastAsia="楷体" w:cs="楷体"/>
          <w:color w:val="auto"/>
        </w:rPr>
        <w:t>（七）环境影响评价结论</w:t>
      </w:r>
      <w:r>
        <w:rPr>
          <w:color w:val="auto"/>
        </w:rPr>
        <w:tab/>
      </w:r>
      <w:r>
        <w:rPr>
          <w:color w:val="auto"/>
        </w:rPr>
        <w:fldChar w:fldCharType="begin"/>
      </w:r>
      <w:r>
        <w:rPr>
          <w:color w:val="auto"/>
        </w:rPr>
        <w:instrText xml:space="preserve"> PAGEREF _Toc79415243 \h </w:instrText>
      </w:r>
      <w:r>
        <w:rPr>
          <w:color w:val="auto"/>
        </w:rPr>
        <w:fldChar w:fldCharType="separate"/>
      </w:r>
      <w:r>
        <w:rPr>
          <w:color w:val="auto"/>
        </w:rPr>
        <w:t>12</w:t>
      </w:r>
      <w:r>
        <w:rPr>
          <w:color w:val="auto"/>
        </w:rPr>
        <w:fldChar w:fldCharType="end"/>
      </w:r>
      <w:r>
        <w:rPr>
          <w:color w:val="auto"/>
        </w:rPr>
        <w:fldChar w:fldCharType="end"/>
      </w:r>
    </w:p>
    <w:p>
      <w:pPr>
        <w:pStyle w:val="16"/>
        <w:spacing w:line="360" w:lineRule="auto"/>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"_Toc79415244" </w:instrText>
      </w:r>
      <w:r>
        <w:rPr>
          <w:color w:val="auto"/>
        </w:rPr>
        <w:fldChar w:fldCharType="separate"/>
      </w:r>
      <w:r>
        <w:rPr>
          <w:rStyle w:val="23"/>
          <w:rFonts w:hint="eastAsia" w:ascii="黑体" w:cs="黑体"/>
          <w:color w:val="auto"/>
        </w:rPr>
        <w:t>八、环翠区规划专篇</w:t>
      </w:r>
      <w:r>
        <w:rPr>
          <w:color w:val="auto"/>
        </w:rPr>
        <w:tab/>
      </w:r>
      <w:r>
        <w:rPr>
          <w:color w:val="auto"/>
        </w:rPr>
        <w:fldChar w:fldCharType="begin"/>
      </w:r>
      <w:r>
        <w:rPr>
          <w:color w:val="auto"/>
        </w:rPr>
        <w:instrText xml:space="preserve"> PAGEREF _Toc79415244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"_Toc79415245" </w:instrText>
      </w:r>
      <w:r>
        <w:rPr>
          <w:color w:val="auto"/>
        </w:rPr>
        <w:fldChar w:fldCharType="separate"/>
      </w:r>
      <w:r>
        <w:rPr>
          <w:rStyle w:val="23"/>
          <w:rFonts w:hint="eastAsia" w:ascii="楷体" w:hAnsi="楷体" w:eastAsia="楷体" w:cs="楷体"/>
          <w:color w:val="auto"/>
        </w:rPr>
        <w:t>（一）环翠区规划范围</w:t>
      </w:r>
      <w:r>
        <w:rPr>
          <w:color w:val="auto"/>
        </w:rPr>
        <w:tab/>
      </w:r>
      <w:r>
        <w:rPr>
          <w:color w:val="auto"/>
        </w:rPr>
        <w:fldChar w:fldCharType="begin"/>
      </w:r>
      <w:r>
        <w:rPr>
          <w:color w:val="auto"/>
        </w:rPr>
        <w:instrText xml:space="preserve"> PAGEREF _Toc79415245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"_Toc79415246" </w:instrText>
      </w:r>
      <w:r>
        <w:rPr>
          <w:color w:val="auto"/>
        </w:rPr>
        <w:fldChar w:fldCharType="separate"/>
      </w:r>
      <w:r>
        <w:rPr>
          <w:rStyle w:val="23"/>
          <w:rFonts w:hint="eastAsia" w:ascii="楷体" w:hAnsi="楷体" w:eastAsia="楷体" w:cs="楷体"/>
          <w:color w:val="auto"/>
        </w:rPr>
        <w:t>（二）矿产资源勘查开发利用与生态保护现状</w:t>
      </w:r>
      <w:r>
        <w:rPr>
          <w:color w:val="auto"/>
        </w:rPr>
        <w:tab/>
      </w:r>
      <w:r>
        <w:rPr>
          <w:color w:val="auto"/>
        </w:rPr>
        <w:fldChar w:fldCharType="begin"/>
      </w:r>
      <w:r>
        <w:rPr>
          <w:color w:val="auto"/>
        </w:rPr>
        <w:instrText xml:space="preserve"> PAGEREF _Toc79415246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"_Toc79415247" </w:instrText>
      </w:r>
      <w:r>
        <w:rPr>
          <w:color w:val="auto"/>
        </w:rPr>
        <w:fldChar w:fldCharType="separate"/>
      </w:r>
      <w:r>
        <w:rPr>
          <w:rStyle w:val="23"/>
          <w:rFonts w:hint="eastAsia" w:ascii="楷体" w:hAnsi="楷体" w:eastAsia="楷体" w:cs="楷体"/>
          <w:color w:val="auto"/>
        </w:rPr>
        <w:t>（三）第三轮矿产资源规划实施成效</w:t>
      </w:r>
      <w:r>
        <w:rPr>
          <w:color w:val="auto"/>
        </w:rPr>
        <w:tab/>
      </w:r>
      <w:r>
        <w:rPr>
          <w:color w:val="auto"/>
        </w:rPr>
        <w:fldChar w:fldCharType="begin"/>
      </w:r>
      <w:r>
        <w:rPr>
          <w:color w:val="auto"/>
        </w:rPr>
        <w:instrText xml:space="preserve"> PAGEREF _Toc79415247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"_Toc79415248" </w:instrText>
      </w:r>
      <w:r>
        <w:rPr>
          <w:color w:val="auto"/>
        </w:rPr>
        <w:fldChar w:fldCharType="separate"/>
      </w:r>
      <w:r>
        <w:rPr>
          <w:rStyle w:val="23"/>
          <w:rFonts w:hint="eastAsia" w:ascii="楷体" w:hAnsi="楷体" w:eastAsia="楷体" w:cs="楷体"/>
          <w:color w:val="auto"/>
        </w:rPr>
        <w:t>（四）</w:t>
      </w:r>
      <w:r>
        <w:rPr>
          <w:rStyle w:val="23"/>
          <w:rFonts w:ascii="楷体" w:hAnsi="楷体" w:eastAsia="楷体" w:cs="楷体"/>
          <w:color w:val="auto"/>
        </w:rPr>
        <w:t>2025</w:t>
      </w:r>
      <w:r>
        <w:rPr>
          <w:rStyle w:val="23"/>
          <w:rFonts w:hint="eastAsia" w:ascii="楷体" w:hAnsi="楷体" w:eastAsia="楷体" w:cs="楷体"/>
          <w:color w:val="auto"/>
        </w:rPr>
        <w:t>年规划目标</w:t>
      </w:r>
      <w:r>
        <w:rPr>
          <w:color w:val="auto"/>
        </w:rPr>
        <w:tab/>
      </w:r>
      <w:r>
        <w:rPr>
          <w:color w:val="auto"/>
        </w:rPr>
        <w:fldChar w:fldCharType="begin"/>
      </w:r>
      <w:r>
        <w:rPr>
          <w:color w:val="auto"/>
        </w:rPr>
        <w:instrText xml:space="preserve"> PAGEREF _Toc79415248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"_Toc79415249" </w:instrText>
      </w:r>
      <w:r>
        <w:rPr>
          <w:color w:val="auto"/>
        </w:rPr>
        <w:fldChar w:fldCharType="separate"/>
      </w:r>
      <w:r>
        <w:rPr>
          <w:rStyle w:val="23"/>
          <w:rFonts w:hint="eastAsia" w:ascii="楷体" w:hAnsi="楷体" w:eastAsia="楷体" w:cs="楷体"/>
          <w:color w:val="auto"/>
        </w:rPr>
        <w:t>（五）矿产资源勘查开发与保护</w:t>
      </w:r>
      <w:r>
        <w:rPr>
          <w:color w:val="auto"/>
        </w:rPr>
        <w:tab/>
      </w:r>
      <w:r>
        <w:rPr>
          <w:color w:val="auto"/>
        </w:rPr>
        <w:fldChar w:fldCharType="begin"/>
      </w:r>
      <w:r>
        <w:rPr>
          <w:color w:val="auto"/>
        </w:rPr>
        <w:instrText xml:space="preserve"> PAGEREF _Toc79415249 \h </w:instrText>
      </w:r>
      <w:r>
        <w:rPr>
          <w:color w:val="auto"/>
        </w:rPr>
        <w:fldChar w:fldCharType="separate"/>
      </w:r>
      <w:r>
        <w:rPr>
          <w:color w:val="auto"/>
        </w:rPr>
        <w:t>12</w:t>
      </w:r>
      <w:r>
        <w:rPr>
          <w:color w:val="auto"/>
        </w:rPr>
        <w:fldChar w:fldCharType="end"/>
      </w:r>
      <w:r>
        <w:rPr>
          <w:color w:val="auto"/>
        </w:rPr>
        <w:fldChar w:fldCharType="end"/>
      </w:r>
    </w:p>
    <w:p>
      <w:pPr>
        <w:pStyle w:val="16"/>
        <w:spacing w:line="360" w:lineRule="auto"/>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"_Toc79415250" </w:instrText>
      </w:r>
      <w:r>
        <w:rPr>
          <w:color w:val="auto"/>
        </w:rPr>
        <w:fldChar w:fldCharType="separate"/>
      </w:r>
      <w:r>
        <w:rPr>
          <w:rStyle w:val="23"/>
          <w:rFonts w:hint="eastAsia" w:ascii="黑体" w:cs="黑体"/>
          <w:color w:val="auto"/>
        </w:rPr>
        <w:t>九、规划保障措施</w:t>
      </w:r>
      <w:r>
        <w:rPr>
          <w:color w:val="auto"/>
        </w:rPr>
        <w:tab/>
      </w:r>
      <w:r>
        <w:rPr>
          <w:color w:val="auto"/>
        </w:rPr>
        <w:fldChar w:fldCharType="begin"/>
      </w:r>
      <w:r>
        <w:rPr>
          <w:color w:val="auto"/>
        </w:rPr>
        <w:instrText xml:space="preserve"> PAGEREF _Toc79415250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"_Toc79415251" </w:instrText>
      </w:r>
      <w:r>
        <w:rPr>
          <w:color w:val="auto"/>
        </w:rPr>
        <w:fldChar w:fldCharType="separate"/>
      </w:r>
      <w:r>
        <w:rPr>
          <w:rStyle w:val="23"/>
          <w:rFonts w:hint="eastAsia" w:ascii="楷体" w:hAnsi="楷体" w:eastAsia="楷体" w:cs="楷体"/>
          <w:color w:val="auto"/>
        </w:rPr>
        <w:t>（一）健全规划实施目标责任制</w:t>
      </w:r>
      <w:r>
        <w:rPr>
          <w:color w:val="auto"/>
        </w:rPr>
        <w:tab/>
      </w:r>
      <w:r>
        <w:rPr>
          <w:color w:val="auto"/>
        </w:rPr>
        <w:fldChar w:fldCharType="begin"/>
      </w:r>
      <w:r>
        <w:rPr>
          <w:color w:val="auto"/>
        </w:rPr>
        <w:instrText xml:space="preserve"> PAGEREF _Toc79415251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"_Toc79415252" </w:instrText>
      </w:r>
      <w:r>
        <w:rPr>
          <w:color w:val="auto"/>
        </w:rPr>
        <w:fldChar w:fldCharType="separate"/>
      </w:r>
      <w:r>
        <w:rPr>
          <w:rStyle w:val="23"/>
          <w:rFonts w:hint="eastAsia" w:ascii="楷体" w:hAnsi="楷体" w:eastAsia="楷体" w:cs="楷体"/>
          <w:color w:val="auto"/>
        </w:rPr>
        <w:t>（二）健全完善规划实施评估调整机制</w:t>
      </w:r>
      <w:r>
        <w:rPr>
          <w:color w:val="auto"/>
        </w:rPr>
        <w:tab/>
      </w:r>
      <w:r>
        <w:rPr>
          <w:color w:val="auto"/>
        </w:rPr>
        <w:fldChar w:fldCharType="begin"/>
      </w:r>
      <w:r>
        <w:rPr>
          <w:color w:val="auto"/>
        </w:rPr>
        <w:instrText xml:space="preserve"> PAGEREF _Toc79415252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"_Toc79415253" </w:instrText>
      </w:r>
      <w:r>
        <w:rPr>
          <w:color w:val="auto"/>
        </w:rPr>
        <w:fldChar w:fldCharType="separate"/>
      </w:r>
      <w:r>
        <w:rPr>
          <w:rStyle w:val="23"/>
          <w:rFonts w:hint="eastAsia" w:ascii="楷体" w:hAnsi="楷体" w:eastAsia="楷体" w:cs="楷体"/>
          <w:color w:val="auto"/>
        </w:rPr>
        <w:t>（三）加强规划实施情况监督检查</w:t>
      </w:r>
      <w:r>
        <w:rPr>
          <w:color w:val="auto"/>
        </w:rPr>
        <w:tab/>
      </w:r>
      <w:r>
        <w:rPr>
          <w:color w:val="auto"/>
        </w:rPr>
        <w:fldChar w:fldCharType="begin"/>
      </w:r>
      <w:r>
        <w:rPr>
          <w:color w:val="auto"/>
        </w:rPr>
        <w:instrText xml:space="preserve"> PAGEREF _Toc79415253 \h </w:instrText>
      </w:r>
      <w:r>
        <w:rPr>
          <w:color w:val="auto"/>
        </w:rPr>
        <w:fldChar w:fldCharType="separate"/>
      </w:r>
      <w:r>
        <w:rPr>
          <w:color w:val="auto"/>
        </w:rPr>
        <w:t>12</w:t>
      </w:r>
      <w:r>
        <w:rPr>
          <w:color w:val="auto"/>
        </w:rPr>
        <w:fldChar w:fldCharType="end"/>
      </w:r>
      <w:r>
        <w:rPr>
          <w:color w:val="auto"/>
        </w:rPr>
        <w:fldChar w:fldCharType="end"/>
      </w:r>
    </w:p>
    <w:p>
      <w:pPr>
        <w:pStyle w:val="18"/>
        <w:rPr>
          <w:rFonts w:asciiTheme="minorHAnsi" w:hAnsiTheme="minorHAnsi" w:eastAsiaTheme="minorEastAsia" w:cstheme="minorBidi"/>
          <w:color w:val="auto"/>
          <w:kern w:val="2"/>
          <w:sz w:val="21"/>
          <w:szCs w:val="22"/>
        </w:rPr>
      </w:pPr>
      <w:r>
        <w:rPr>
          <w:color w:val="auto"/>
        </w:rPr>
        <w:fldChar w:fldCharType="begin"/>
      </w:r>
      <w:r>
        <w:rPr>
          <w:color w:val="auto"/>
        </w:rPr>
        <w:instrText xml:space="preserve"> HYPERLINK \l "_Toc79415254" </w:instrText>
      </w:r>
      <w:r>
        <w:rPr>
          <w:color w:val="auto"/>
        </w:rPr>
        <w:fldChar w:fldCharType="separate"/>
      </w:r>
      <w:r>
        <w:rPr>
          <w:rStyle w:val="23"/>
          <w:rFonts w:hint="eastAsia" w:ascii="楷体" w:hAnsi="楷体" w:eastAsia="楷体" w:cs="楷体"/>
          <w:color w:val="auto"/>
        </w:rPr>
        <w:t>（四）提高规划管理信息化水平</w:t>
      </w:r>
      <w:r>
        <w:rPr>
          <w:color w:val="auto"/>
        </w:rPr>
        <w:tab/>
      </w:r>
      <w:r>
        <w:rPr>
          <w:color w:val="auto"/>
        </w:rPr>
        <w:fldChar w:fldCharType="begin"/>
      </w:r>
      <w:r>
        <w:rPr>
          <w:color w:val="auto"/>
        </w:rPr>
        <w:instrText xml:space="preserve"> PAGEREF _Toc79415254 \h </w:instrText>
      </w:r>
      <w:r>
        <w:rPr>
          <w:color w:val="auto"/>
        </w:rPr>
        <w:fldChar w:fldCharType="separate"/>
      </w:r>
      <w:r>
        <w:rPr>
          <w:color w:val="auto"/>
        </w:rPr>
        <w:t>12</w:t>
      </w:r>
      <w:r>
        <w:rPr>
          <w:color w:val="auto"/>
        </w:rPr>
        <w:fldChar w:fldCharType="end"/>
      </w:r>
      <w:r>
        <w:rPr>
          <w:color w:val="auto"/>
        </w:rPr>
        <w:fldChar w:fldCharType="end"/>
      </w:r>
    </w:p>
    <w:p>
      <w:pPr>
        <w:snapToGrid w:val="0"/>
        <w:spacing w:line="360" w:lineRule="auto"/>
        <w:jc w:val="center"/>
        <w:rPr>
          <w:rFonts w:ascii="宋体" w:hAnsi="宋体"/>
          <w:color w:val="auto"/>
          <w:sz w:val="28"/>
          <w:szCs w:val="28"/>
        </w:rPr>
        <w:sectPr>
          <w:footerReference r:id="rId5" w:type="even"/>
          <w:pgSz w:w="11906" w:h="16838"/>
          <w:pgMar w:top="1440" w:right="1797" w:bottom="1440" w:left="1797" w:header="709" w:footer="709" w:gutter="0"/>
          <w:pgNumType w:start="1"/>
          <w:cols w:space="708" w:num="1"/>
          <w:docGrid w:linePitch="360" w:charSpace="0"/>
        </w:sectPr>
      </w:pPr>
      <w:r>
        <w:rPr>
          <w:color w:val="auto"/>
        </w:rPr>
        <w:fldChar w:fldCharType="end"/>
      </w:r>
    </w:p>
    <w:p>
      <w:pPr>
        <w:spacing w:line="400" w:lineRule="exact"/>
        <w:jc w:val="center"/>
        <w:rPr>
          <w:rFonts w:ascii="宋体"/>
          <w:b/>
          <w:bCs/>
          <w:color w:val="auto"/>
          <w:sz w:val="32"/>
          <w:szCs w:val="32"/>
        </w:rPr>
      </w:pPr>
      <w:r>
        <w:rPr>
          <w:rFonts w:ascii="宋体"/>
          <w:b/>
          <w:bCs/>
          <w:color w:val="auto"/>
          <w:sz w:val="32"/>
          <w:szCs w:val="32"/>
        </w:rPr>
        <w:br w:type="page"/>
      </w:r>
    </w:p>
    <w:p>
      <w:pPr>
        <w:spacing w:line="400" w:lineRule="exact"/>
        <w:jc w:val="center"/>
        <w:rPr>
          <w:rFonts w:ascii="黑体" w:hAnsi="黑体" w:eastAsia="黑体"/>
          <w:color w:val="auto"/>
          <w:kern w:val="2"/>
          <w:sz w:val="30"/>
          <w:szCs w:val="30"/>
        </w:rPr>
      </w:pPr>
      <w:r>
        <w:rPr>
          <w:rFonts w:ascii="黑体" w:hAnsi="黑体" w:eastAsia="黑体"/>
          <w:color w:val="auto"/>
          <w:kern w:val="2"/>
          <w:sz w:val="30"/>
          <w:szCs w:val="30"/>
        </w:rPr>
        <w:t>附 表</w:t>
      </w:r>
    </w:p>
    <w:p>
      <w:pPr>
        <w:ind w:firstLine="560" w:firstLineChars="200"/>
        <w:jc w:val="both"/>
        <w:rPr>
          <w:rFonts w:eastAsia="仿宋_GB2312"/>
          <w:color w:val="auto"/>
          <w:kern w:val="2"/>
          <w:sz w:val="28"/>
          <w:szCs w:val="28"/>
        </w:rPr>
      </w:pPr>
    </w:p>
    <w:p>
      <w:pPr>
        <w:spacing w:line="360" w:lineRule="auto"/>
        <w:ind w:firstLine="560" w:firstLineChars="200"/>
        <w:jc w:val="both"/>
        <w:rPr>
          <w:rFonts w:eastAsia="仿宋_GB2312"/>
          <w:color w:val="auto"/>
          <w:kern w:val="2"/>
          <w:sz w:val="28"/>
          <w:szCs w:val="28"/>
        </w:rPr>
      </w:pPr>
      <w:r>
        <w:rPr>
          <w:rFonts w:hint="eastAsia" w:eastAsia="仿宋_GB2312"/>
          <w:color w:val="auto"/>
          <w:kern w:val="2"/>
          <w:sz w:val="28"/>
          <w:szCs w:val="28"/>
        </w:rPr>
        <w:t>附表1   威海市国家能源资源基地表</w:t>
      </w:r>
    </w:p>
    <w:p>
      <w:pPr>
        <w:spacing w:line="360" w:lineRule="auto"/>
        <w:ind w:firstLine="560" w:firstLineChars="200"/>
        <w:jc w:val="both"/>
        <w:rPr>
          <w:rFonts w:eastAsia="仿宋_GB2312"/>
          <w:color w:val="auto"/>
          <w:kern w:val="2"/>
          <w:sz w:val="28"/>
          <w:szCs w:val="28"/>
        </w:rPr>
      </w:pPr>
      <w:r>
        <w:rPr>
          <w:rFonts w:hint="eastAsia" w:eastAsia="仿宋_GB2312"/>
          <w:color w:val="auto"/>
          <w:kern w:val="2"/>
          <w:sz w:val="28"/>
          <w:szCs w:val="28"/>
        </w:rPr>
        <w:t>附表2   威海市国家规划矿区表</w:t>
      </w:r>
    </w:p>
    <w:p>
      <w:pPr>
        <w:spacing w:line="360" w:lineRule="auto"/>
        <w:ind w:firstLine="560" w:firstLineChars="200"/>
        <w:jc w:val="both"/>
        <w:rPr>
          <w:rFonts w:eastAsia="仿宋_GB2312"/>
          <w:color w:val="auto"/>
          <w:kern w:val="2"/>
          <w:sz w:val="28"/>
          <w:szCs w:val="28"/>
        </w:rPr>
      </w:pPr>
      <w:r>
        <w:rPr>
          <w:rFonts w:hint="eastAsia" w:eastAsia="仿宋_GB2312"/>
          <w:color w:val="auto"/>
          <w:kern w:val="2"/>
          <w:sz w:val="28"/>
          <w:szCs w:val="28"/>
        </w:rPr>
        <w:t>附表3   威海市战略性矿产资源保护区表</w:t>
      </w:r>
    </w:p>
    <w:p>
      <w:pPr>
        <w:spacing w:line="360" w:lineRule="auto"/>
        <w:ind w:firstLine="560" w:firstLineChars="200"/>
        <w:jc w:val="both"/>
        <w:rPr>
          <w:rFonts w:eastAsia="仿宋_GB2312"/>
          <w:color w:val="auto"/>
          <w:kern w:val="2"/>
          <w:sz w:val="28"/>
          <w:szCs w:val="28"/>
        </w:rPr>
      </w:pPr>
      <w:r>
        <w:rPr>
          <w:rFonts w:hint="eastAsia" w:eastAsia="仿宋_GB2312"/>
          <w:color w:val="auto"/>
          <w:kern w:val="2"/>
          <w:sz w:val="28"/>
          <w:szCs w:val="28"/>
        </w:rPr>
        <w:t>附表4   威海市矿产资源重点勘查区表</w:t>
      </w:r>
    </w:p>
    <w:p>
      <w:pPr>
        <w:spacing w:line="360" w:lineRule="auto"/>
        <w:ind w:firstLine="560" w:firstLineChars="200"/>
        <w:jc w:val="both"/>
        <w:rPr>
          <w:rFonts w:eastAsia="仿宋_GB2312"/>
          <w:color w:val="auto"/>
          <w:kern w:val="2"/>
          <w:sz w:val="28"/>
          <w:szCs w:val="28"/>
        </w:rPr>
      </w:pPr>
      <w:r>
        <w:rPr>
          <w:rFonts w:hint="eastAsia" w:eastAsia="仿宋_GB2312"/>
          <w:color w:val="auto"/>
          <w:kern w:val="2"/>
          <w:sz w:val="28"/>
          <w:szCs w:val="28"/>
        </w:rPr>
        <w:t>附表5   威海市勘查规划区块表</w:t>
      </w:r>
    </w:p>
    <w:p>
      <w:pPr>
        <w:spacing w:line="360" w:lineRule="auto"/>
        <w:ind w:firstLine="560" w:firstLineChars="200"/>
        <w:jc w:val="both"/>
        <w:rPr>
          <w:rFonts w:eastAsia="仿宋_GB2312"/>
          <w:color w:val="auto"/>
          <w:kern w:val="2"/>
          <w:sz w:val="28"/>
          <w:szCs w:val="28"/>
        </w:rPr>
      </w:pPr>
      <w:r>
        <w:rPr>
          <w:rFonts w:hint="eastAsia" w:eastAsia="仿宋_GB2312"/>
          <w:color w:val="auto"/>
          <w:kern w:val="2"/>
          <w:sz w:val="28"/>
          <w:szCs w:val="28"/>
        </w:rPr>
        <w:t>附表6   威海市矿产资源重点开采区表</w:t>
      </w:r>
    </w:p>
    <w:p>
      <w:pPr>
        <w:spacing w:line="360" w:lineRule="auto"/>
        <w:ind w:firstLine="560" w:firstLineChars="200"/>
        <w:jc w:val="both"/>
        <w:rPr>
          <w:rFonts w:eastAsia="仿宋_GB2312"/>
          <w:color w:val="auto"/>
          <w:kern w:val="2"/>
          <w:sz w:val="28"/>
          <w:szCs w:val="28"/>
        </w:rPr>
      </w:pPr>
      <w:r>
        <w:rPr>
          <w:rFonts w:hint="eastAsia" w:eastAsia="仿宋_GB2312"/>
          <w:color w:val="auto"/>
          <w:kern w:val="2"/>
          <w:sz w:val="28"/>
          <w:szCs w:val="28"/>
        </w:rPr>
        <w:t>附表7   威海市开采规划区块表</w:t>
      </w:r>
    </w:p>
    <w:p>
      <w:pPr>
        <w:spacing w:line="360" w:lineRule="auto"/>
        <w:ind w:firstLine="560" w:firstLineChars="200"/>
        <w:jc w:val="both"/>
        <w:rPr>
          <w:rFonts w:eastAsia="仿宋_GB2312"/>
          <w:color w:val="auto"/>
          <w:kern w:val="2"/>
          <w:sz w:val="28"/>
          <w:szCs w:val="28"/>
        </w:rPr>
      </w:pPr>
      <w:r>
        <w:rPr>
          <w:rFonts w:hint="eastAsia" w:eastAsia="仿宋_GB2312"/>
          <w:color w:val="auto"/>
          <w:kern w:val="2"/>
          <w:sz w:val="28"/>
          <w:szCs w:val="28"/>
        </w:rPr>
        <w:t>附表8   威海市重点矿种矿山最低开采规模规划表</w:t>
      </w:r>
    </w:p>
    <w:p>
      <w:pPr>
        <w:spacing w:line="360" w:lineRule="auto"/>
        <w:ind w:firstLine="560" w:firstLineChars="200"/>
        <w:jc w:val="both"/>
        <w:rPr>
          <w:rFonts w:eastAsia="仿宋_GB2312"/>
          <w:color w:val="auto"/>
          <w:kern w:val="2"/>
          <w:sz w:val="28"/>
          <w:szCs w:val="28"/>
        </w:rPr>
      </w:pPr>
      <w:r>
        <w:rPr>
          <w:rFonts w:hint="eastAsia" w:eastAsia="仿宋_GB2312"/>
          <w:color w:val="auto"/>
          <w:kern w:val="2"/>
          <w:sz w:val="28"/>
          <w:szCs w:val="28"/>
        </w:rPr>
        <w:t>附表9   威海市砂石土类矿产集中开采区表</w:t>
      </w:r>
    </w:p>
    <w:p>
      <w:pPr>
        <w:spacing w:line="360" w:lineRule="auto"/>
        <w:ind w:firstLine="560" w:firstLineChars="200"/>
        <w:jc w:val="both"/>
        <w:rPr>
          <w:rFonts w:eastAsia="仿宋_GB2312"/>
          <w:color w:val="auto"/>
          <w:kern w:val="2"/>
          <w:sz w:val="28"/>
          <w:szCs w:val="28"/>
        </w:rPr>
      </w:pPr>
      <w:r>
        <w:rPr>
          <w:rFonts w:hint="eastAsia" w:eastAsia="仿宋_GB2312"/>
          <w:color w:val="auto"/>
          <w:kern w:val="2"/>
          <w:sz w:val="28"/>
          <w:szCs w:val="28"/>
        </w:rPr>
        <w:t>附表10   威海市矿产资源重点调查评价区规划表</w:t>
      </w:r>
    </w:p>
    <w:p>
      <w:pPr>
        <w:spacing w:line="360" w:lineRule="auto"/>
        <w:ind w:firstLine="2514" w:firstLineChars="898"/>
        <w:jc w:val="both"/>
        <w:rPr>
          <w:rFonts w:eastAsia="仿宋_GB2312"/>
          <w:color w:val="auto"/>
          <w:kern w:val="2"/>
          <w:sz w:val="28"/>
          <w:szCs w:val="28"/>
        </w:rPr>
      </w:pPr>
    </w:p>
    <w:p>
      <w:pPr>
        <w:spacing w:line="360" w:lineRule="auto"/>
        <w:jc w:val="center"/>
        <w:rPr>
          <w:rFonts w:ascii="黑体" w:hAnsi="黑体" w:eastAsia="黑体"/>
          <w:color w:val="auto"/>
          <w:kern w:val="2"/>
          <w:sz w:val="30"/>
          <w:szCs w:val="30"/>
        </w:rPr>
      </w:pPr>
      <w:r>
        <w:rPr>
          <w:rFonts w:ascii="黑体" w:hAnsi="黑体" w:eastAsia="黑体"/>
          <w:color w:val="auto"/>
          <w:kern w:val="2"/>
          <w:sz w:val="30"/>
          <w:szCs w:val="30"/>
        </w:rPr>
        <w:t>附 图</w:t>
      </w:r>
    </w:p>
    <w:p>
      <w:pPr>
        <w:ind w:firstLine="560" w:firstLineChars="200"/>
        <w:jc w:val="both"/>
        <w:rPr>
          <w:rFonts w:eastAsia="仿宋_GB2312"/>
          <w:color w:val="auto"/>
          <w:kern w:val="2"/>
          <w:sz w:val="28"/>
          <w:szCs w:val="28"/>
        </w:rPr>
      </w:pPr>
    </w:p>
    <w:p>
      <w:pPr>
        <w:spacing w:line="360" w:lineRule="auto"/>
        <w:ind w:firstLine="560" w:firstLineChars="200"/>
        <w:jc w:val="both"/>
        <w:rPr>
          <w:rFonts w:eastAsia="仿宋_GB2312"/>
          <w:color w:val="auto"/>
          <w:kern w:val="2"/>
          <w:sz w:val="28"/>
          <w:szCs w:val="28"/>
        </w:rPr>
      </w:pPr>
      <w:r>
        <w:rPr>
          <w:rFonts w:eastAsia="仿宋_GB2312"/>
          <w:color w:val="auto"/>
          <w:kern w:val="2"/>
          <w:sz w:val="28"/>
          <w:szCs w:val="28"/>
        </w:rPr>
        <w:t>附图1  威海市矿产资源分布图</w:t>
      </w:r>
      <w:r>
        <w:rPr>
          <w:rFonts w:hint="eastAsia" w:eastAsia="仿宋_GB2312"/>
          <w:color w:val="auto"/>
          <w:kern w:val="2"/>
          <w:sz w:val="28"/>
          <w:szCs w:val="28"/>
        </w:rPr>
        <w:t>（1:10万）</w:t>
      </w:r>
    </w:p>
    <w:p>
      <w:pPr>
        <w:spacing w:line="360" w:lineRule="auto"/>
        <w:ind w:firstLine="560" w:firstLineChars="200"/>
        <w:jc w:val="both"/>
        <w:rPr>
          <w:rFonts w:eastAsia="仿宋_GB2312"/>
          <w:color w:val="auto"/>
          <w:kern w:val="2"/>
          <w:sz w:val="28"/>
          <w:szCs w:val="28"/>
        </w:rPr>
      </w:pPr>
      <w:r>
        <w:rPr>
          <w:rFonts w:eastAsia="仿宋_GB2312"/>
          <w:color w:val="auto"/>
          <w:kern w:val="2"/>
          <w:sz w:val="28"/>
          <w:szCs w:val="28"/>
        </w:rPr>
        <w:t>附图2  威海市</w:t>
      </w:r>
      <w:r>
        <w:rPr>
          <w:rFonts w:hint="eastAsia" w:eastAsia="仿宋_GB2312"/>
          <w:color w:val="auto"/>
          <w:kern w:val="2"/>
          <w:sz w:val="28"/>
          <w:szCs w:val="28"/>
        </w:rPr>
        <w:t>矿产资源勘查开发利用现状图（1:10万）</w:t>
      </w:r>
    </w:p>
    <w:p>
      <w:pPr>
        <w:spacing w:line="360" w:lineRule="auto"/>
        <w:ind w:firstLine="560" w:firstLineChars="200"/>
        <w:jc w:val="both"/>
        <w:rPr>
          <w:rFonts w:eastAsia="仿宋_GB2312"/>
          <w:color w:val="auto"/>
          <w:kern w:val="2"/>
          <w:sz w:val="28"/>
          <w:szCs w:val="28"/>
        </w:rPr>
      </w:pPr>
      <w:r>
        <w:rPr>
          <w:rFonts w:eastAsia="仿宋_GB2312"/>
          <w:color w:val="auto"/>
          <w:kern w:val="2"/>
          <w:sz w:val="28"/>
          <w:szCs w:val="28"/>
        </w:rPr>
        <w:t>附图3  威海市</w:t>
      </w:r>
      <w:r>
        <w:rPr>
          <w:rFonts w:hint="eastAsia" w:eastAsia="仿宋_GB2312"/>
          <w:color w:val="auto"/>
          <w:kern w:val="2"/>
          <w:sz w:val="28"/>
          <w:szCs w:val="28"/>
        </w:rPr>
        <w:t>矿产资源勘查开发保护总体布局图（1:10万）</w:t>
      </w:r>
    </w:p>
    <w:p>
      <w:pPr>
        <w:spacing w:line="360" w:lineRule="auto"/>
        <w:ind w:firstLine="560" w:firstLineChars="200"/>
        <w:jc w:val="both"/>
        <w:rPr>
          <w:rFonts w:eastAsia="仿宋_GB2312"/>
          <w:color w:val="auto"/>
          <w:kern w:val="2"/>
          <w:sz w:val="28"/>
          <w:szCs w:val="28"/>
        </w:rPr>
      </w:pPr>
      <w:r>
        <w:rPr>
          <w:rFonts w:eastAsia="仿宋_GB2312"/>
          <w:color w:val="auto"/>
          <w:kern w:val="2"/>
          <w:sz w:val="28"/>
          <w:szCs w:val="28"/>
        </w:rPr>
        <w:t>附图4威海市</w:t>
      </w:r>
      <w:r>
        <w:rPr>
          <w:rFonts w:hint="eastAsia" w:eastAsia="仿宋_GB2312"/>
          <w:color w:val="auto"/>
          <w:kern w:val="2"/>
          <w:sz w:val="28"/>
          <w:szCs w:val="28"/>
        </w:rPr>
        <w:t>矿产资源勘查规划图（1:10万）</w:t>
      </w:r>
    </w:p>
    <w:p>
      <w:pPr>
        <w:spacing w:line="360" w:lineRule="auto"/>
        <w:ind w:firstLine="560" w:firstLineChars="200"/>
        <w:jc w:val="both"/>
        <w:rPr>
          <w:rFonts w:eastAsia="仿宋_GB2312"/>
          <w:color w:val="auto"/>
          <w:kern w:val="2"/>
          <w:sz w:val="28"/>
          <w:szCs w:val="28"/>
        </w:rPr>
      </w:pPr>
      <w:r>
        <w:rPr>
          <w:rFonts w:eastAsia="仿宋_GB2312"/>
          <w:color w:val="auto"/>
          <w:kern w:val="2"/>
          <w:sz w:val="28"/>
          <w:szCs w:val="28"/>
        </w:rPr>
        <w:t>附图</w:t>
      </w:r>
      <w:r>
        <w:rPr>
          <w:rFonts w:hint="eastAsia" w:eastAsia="仿宋_GB2312"/>
          <w:color w:val="auto"/>
          <w:kern w:val="2"/>
          <w:sz w:val="28"/>
          <w:szCs w:val="28"/>
        </w:rPr>
        <w:t>5</w:t>
      </w:r>
      <w:r>
        <w:rPr>
          <w:rFonts w:eastAsia="仿宋_GB2312"/>
          <w:color w:val="auto"/>
          <w:kern w:val="2"/>
          <w:sz w:val="28"/>
          <w:szCs w:val="28"/>
        </w:rPr>
        <w:t>威海市</w:t>
      </w:r>
      <w:r>
        <w:rPr>
          <w:rFonts w:hint="eastAsia" w:eastAsia="仿宋_GB2312"/>
          <w:color w:val="auto"/>
          <w:kern w:val="2"/>
          <w:sz w:val="28"/>
          <w:szCs w:val="28"/>
        </w:rPr>
        <w:t>矿产资源开采规划图（1:10万）</w:t>
      </w:r>
    </w:p>
    <w:p>
      <w:pPr>
        <w:rPr>
          <w:color w:val="auto"/>
        </w:rPr>
        <w:sectPr>
          <w:footerReference r:id="rId6" w:type="default"/>
          <w:type w:val="continuous"/>
          <w:pgSz w:w="11906" w:h="16838"/>
          <w:pgMar w:top="1440" w:right="1797" w:bottom="1440" w:left="1797" w:header="709" w:footer="709" w:gutter="0"/>
          <w:pgNumType w:start="1"/>
          <w:cols w:space="708" w:num="1"/>
          <w:docGrid w:linePitch="360" w:charSpace="0"/>
        </w:sectPr>
      </w:pPr>
    </w:p>
    <w:p>
      <w:pPr>
        <w:pStyle w:val="2"/>
        <w:widowControl w:val="0"/>
        <w:spacing w:before="600" w:afterLines="50" w:line="560" w:lineRule="exact"/>
        <w:jc w:val="center"/>
        <w:rPr>
          <w:rFonts w:eastAsia="黑体" w:cs="黑体"/>
          <w:b w:val="0"/>
          <w:bCs w:val="0"/>
          <w:color w:val="auto"/>
          <w:kern w:val="2"/>
          <w:sz w:val="32"/>
          <w:szCs w:val="32"/>
        </w:rPr>
      </w:pPr>
      <w:bookmarkStart w:id="0" w:name="_Toc79415207"/>
      <w:r>
        <w:rPr>
          <w:rFonts w:hint="eastAsia" w:eastAsia="黑体" w:cs="黑体"/>
          <w:b w:val="0"/>
          <w:bCs w:val="0"/>
          <w:color w:val="auto"/>
          <w:kern w:val="2"/>
          <w:sz w:val="32"/>
          <w:szCs w:val="32"/>
        </w:rPr>
        <w:t>总则</w:t>
      </w:r>
      <w:bookmarkEnd w:id="0"/>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“十四五”时期是威海市开创“精致城市·幸福威海”建设新局面，争当新时代现代化强省建设排头兵的重要五年。为更好发挥矿产资源在经济社会发展中不可或缺的物质基础作用，</w:t>
      </w:r>
      <w:r>
        <w:rPr>
          <w:rFonts w:eastAsia="仿宋_GB2312"/>
          <w:color w:val="auto"/>
          <w:kern w:val="2"/>
          <w:sz w:val="28"/>
          <w:szCs w:val="28"/>
        </w:rPr>
        <w:t>谋划好</w:t>
      </w:r>
      <w:r>
        <w:rPr>
          <w:rFonts w:hint="eastAsia" w:eastAsia="仿宋_GB2312"/>
          <w:color w:val="auto"/>
          <w:kern w:val="2"/>
          <w:sz w:val="28"/>
          <w:szCs w:val="28"/>
        </w:rPr>
        <w:t>“</w:t>
      </w:r>
      <w:r>
        <w:rPr>
          <w:rFonts w:eastAsia="仿宋_GB2312"/>
          <w:color w:val="auto"/>
          <w:kern w:val="2"/>
          <w:sz w:val="28"/>
          <w:szCs w:val="28"/>
        </w:rPr>
        <w:t>十</w:t>
      </w:r>
      <w:r>
        <w:rPr>
          <w:rFonts w:hint="eastAsia" w:eastAsia="仿宋_GB2312"/>
          <w:color w:val="auto"/>
          <w:kern w:val="2"/>
          <w:sz w:val="28"/>
          <w:szCs w:val="28"/>
        </w:rPr>
        <w:t>四</w:t>
      </w:r>
      <w:r>
        <w:rPr>
          <w:rFonts w:eastAsia="仿宋_GB2312"/>
          <w:color w:val="auto"/>
          <w:kern w:val="2"/>
          <w:sz w:val="28"/>
          <w:szCs w:val="28"/>
        </w:rPr>
        <w:t>五</w:t>
      </w:r>
      <w:r>
        <w:rPr>
          <w:rFonts w:hint="eastAsia" w:eastAsia="仿宋_GB2312"/>
          <w:color w:val="auto"/>
          <w:kern w:val="2"/>
          <w:sz w:val="28"/>
          <w:szCs w:val="28"/>
        </w:rPr>
        <w:t>”</w:t>
      </w:r>
      <w:r>
        <w:rPr>
          <w:rFonts w:eastAsia="仿宋_GB2312"/>
          <w:color w:val="auto"/>
          <w:kern w:val="2"/>
          <w:sz w:val="28"/>
          <w:szCs w:val="28"/>
        </w:rPr>
        <w:t>期间威海市矿产资源勘查、开</w:t>
      </w:r>
      <w:r>
        <w:rPr>
          <w:rFonts w:hint="eastAsia" w:eastAsia="仿宋_GB2312"/>
          <w:color w:val="auto"/>
          <w:kern w:val="2"/>
          <w:sz w:val="28"/>
          <w:szCs w:val="28"/>
        </w:rPr>
        <w:t>发</w:t>
      </w:r>
      <w:r>
        <w:rPr>
          <w:rFonts w:eastAsia="仿宋_GB2312"/>
          <w:color w:val="auto"/>
          <w:kern w:val="2"/>
          <w:sz w:val="28"/>
          <w:szCs w:val="28"/>
        </w:rPr>
        <w:t>利用</w:t>
      </w:r>
      <w:r>
        <w:rPr>
          <w:rFonts w:hint="eastAsia" w:eastAsia="仿宋_GB2312"/>
          <w:color w:val="auto"/>
          <w:kern w:val="2"/>
          <w:sz w:val="28"/>
          <w:szCs w:val="28"/>
        </w:rPr>
        <w:t>、</w:t>
      </w:r>
      <w:r>
        <w:rPr>
          <w:rFonts w:eastAsia="仿宋_GB2312"/>
          <w:color w:val="auto"/>
          <w:kern w:val="2"/>
          <w:sz w:val="28"/>
          <w:szCs w:val="28"/>
        </w:rPr>
        <w:t>矿区生态保护修复和矿</w:t>
      </w:r>
      <w:r>
        <w:rPr>
          <w:rFonts w:hint="eastAsia" w:eastAsia="仿宋_GB2312"/>
          <w:color w:val="auto"/>
          <w:kern w:val="2"/>
          <w:sz w:val="28"/>
          <w:szCs w:val="28"/>
        </w:rPr>
        <w:t>产</w:t>
      </w:r>
      <w:r>
        <w:rPr>
          <w:rFonts w:eastAsia="仿宋_GB2312"/>
          <w:color w:val="auto"/>
          <w:kern w:val="2"/>
          <w:sz w:val="28"/>
          <w:szCs w:val="28"/>
        </w:rPr>
        <w:t>资源管理部署</w:t>
      </w:r>
      <w:r>
        <w:rPr>
          <w:rFonts w:hint="eastAsia" w:eastAsia="仿宋_GB2312"/>
          <w:color w:val="auto"/>
          <w:kern w:val="2"/>
          <w:sz w:val="28"/>
          <w:szCs w:val="28"/>
        </w:rPr>
        <w:t>，保障</w:t>
      </w:r>
      <w:r>
        <w:rPr>
          <w:rFonts w:eastAsia="仿宋_GB2312"/>
          <w:color w:val="auto"/>
          <w:kern w:val="2"/>
          <w:sz w:val="28"/>
          <w:szCs w:val="28"/>
        </w:rPr>
        <w:t>威海市经济社会全面协调发展</w:t>
      </w:r>
      <w:r>
        <w:rPr>
          <w:rFonts w:hint="eastAsia" w:eastAsia="仿宋_GB2312"/>
          <w:color w:val="auto"/>
          <w:kern w:val="2"/>
          <w:sz w:val="28"/>
          <w:szCs w:val="28"/>
        </w:rPr>
        <w:t>。</w:t>
      </w:r>
      <w:r>
        <w:rPr>
          <w:rFonts w:eastAsia="仿宋_GB2312"/>
          <w:color w:val="auto"/>
          <w:kern w:val="2"/>
          <w:sz w:val="28"/>
          <w:szCs w:val="28"/>
        </w:rPr>
        <w:t>依据</w:t>
      </w:r>
      <w:r>
        <w:rPr>
          <w:rFonts w:hint="eastAsia" w:eastAsia="仿宋_GB2312"/>
          <w:color w:val="auto"/>
          <w:kern w:val="2"/>
          <w:sz w:val="28"/>
          <w:szCs w:val="28"/>
        </w:rPr>
        <w:t>《中华人民共和国矿产资源法》《全国矿产资源规划（2</w:t>
      </w:r>
      <w:r>
        <w:rPr>
          <w:rFonts w:eastAsia="仿宋_GB2312"/>
          <w:color w:val="auto"/>
          <w:kern w:val="2"/>
          <w:sz w:val="28"/>
          <w:szCs w:val="28"/>
        </w:rPr>
        <w:t>021</w:t>
      </w:r>
      <w:r>
        <w:rPr>
          <w:rFonts w:hint="eastAsia" w:eastAsia="仿宋_GB2312"/>
          <w:color w:val="auto"/>
          <w:kern w:val="2"/>
          <w:sz w:val="28"/>
          <w:szCs w:val="28"/>
        </w:rPr>
        <w:t>—</w:t>
      </w:r>
      <w:r>
        <w:rPr>
          <w:rFonts w:eastAsia="仿宋_GB2312"/>
          <w:color w:val="auto"/>
          <w:kern w:val="2"/>
          <w:sz w:val="28"/>
          <w:szCs w:val="28"/>
        </w:rPr>
        <w:t>2025</w:t>
      </w:r>
      <w:r>
        <w:rPr>
          <w:rFonts w:hint="eastAsia" w:eastAsia="仿宋_GB2312"/>
          <w:color w:val="auto"/>
          <w:kern w:val="2"/>
          <w:sz w:val="28"/>
          <w:szCs w:val="28"/>
        </w:rPr>
        <w:t>年）》</w:t>
      </w:r>
      <w:r>
        <w:rPr>
          <w:rFonts w:eastAsia="仿宋_GB2312"/>
          <w:color w:val="auto"/>
          <w:kern w:val="2"/>
          <w:sz w:val="28"/>
          <w:szCs w:val="28"/>
        </w:rPr>
        <w:t>《山东省矿产资源总体规划（20</w:t>
      </w:r>
      <w:r>
        <w:rPr>
          <w:rFonts w:hint="eastAsia" w:eastAsia="仿宋_GB2312"/>
          <w:color w:val="auto"/>
          <w:kern w:val="2"/>
          <w:sz w:val="28"/>
          <w:szCs w:val="28"/>
        </w:rPr>
        <w:t>21—</w:t>
      </w:r>
      <w:r>
        <w:rPr>
          <w:rFonts w:eastAsia="仿宋_GB2312"/>
          <w:color w:val="auto"/>
          <w:kern w:val="2"/>
          <w:sz w:val="28"/>
          <w:szCs w:val="28"/>
        </w:rPr>
        <w:t>202</w:t>
      </w:r>
      <w:r>
        <w:rPr>
          <w:rFonts w:hint="eastAsia" w:eastAsia="仿宋_GB2312"/>
          <w:color w:val="auto"/>
          <w:kern w:val="2"/>
          <w:sz w:val="28"/>
          <w:szCs w:val="28"/>
        </w:rPr>
        <w:t>5年</w:t>
      </w:r>
      <w:r>
        <w:rPr>
          <w:rFonts w:eastAsia="仿宋_GB2312"/>
          <w:color w:val="auto"/>
          <w:kern w:val="2"/>
          <w:sz w:val="28"/>
          <w:szCs w:val="28"/>
        </w:rPr>
        <w:t>）》《</w:t>
      </w:r>
      <w:r>
        <w:rPr>
          <w:rFonts w:hint="eastAsia" w:eastAsia="仿宋_GB2312"/>
          <w:color w:val="auto"/>
          <w:kern w:val="2"/>
          <w:sz w:val="28"/>
          <w:szCs w:val="28"/>
        </w:rPr>
        <w:t>威海市国民经济和社会发展第十四个五年规划和二</w:t>
      </w:r>
      <w:r>
        <w:rPr>
          <w:rFonts w:hint="eastAsia" w:ascii="宋体" w:hAnsi="宋体" w:cs="宋体"/>
          <w:color w:val="auto"/>
          <w:kern w:val="2"/>
          <w:sz w:val="28"/>
          <w:szCs w:val="28"/>
        </w:rPr>
        <w:t>〇</w:t>
      </w:r>
      <w:r>
        <w:rPr>
          <w:rFonts w:hint="eastAsia" w:ascii="仿宋_GB2312" w:hAnsi="仿宋_GB2312" w:eastAsia="仿宋_GB2312" w:cs="仿宋_GB2312"/>
          <w:color w:val="auto"/>
          <w:kern w:val="2"/>
          <w:sz w:val="28"/>
          <w:szCs w:val="28"/>
        </w:rPr>
        <w:t>三五年远景目标纲要</w:t>
      </w:r>
      <w:r>
        <w:rPr>
          <w:rFonts w:eastAsia="仿宋_GB2312"/>
          <w:color w:val="auto"/>
          <w:kern w:val="2"/>
          <w:sz w:val="28"/>
          <w:szCs w:val="28"/>
        </w:rPr>
        <w:t>》</w:t>
      </w:r>
      <w:r>
        <w:rPr>
          <w:rFonts w:hint="eastAsia" w:eastAsia="仿宋_GB2312"/>
          <w:color w:val="auto"/>
          <w:kern w:val="2"/>
          <w:sz w:val="28"/>
          <w:szCs w:val="28"/>
        </w:rPr>
        <w:t>等，按照《自然资源部关于全面开展矿产资源规划（2021—2025年）编制工作的通知》（自然资发〔2020〕43号）《山东省自然资源厅关于全面开展矿产资源总体规划（2021—2025年）以及编制工作的通知》（鲁自然资字〔2020〕47号）</w:t>
      </w:r>
      <w:r>
        <w:rPr>
          <w:rFonts w:eastAsia="仿宋_GB2312"/>
          <w:color w:val="auto"/>
          <w:kern w:val="2"/>
          <w:sz w:val="28"/>
          <w:szCs w:val="28"/>
        </w:rPr>
        <w:t>等</w:t>
      </w:r>
      <w:r>
        <w:rPr>
          <w:rFonts w:hint="eastAsia" w:eastAsia="仿宋_GB2312"/>
          <w:color w:val="auto"/>
          <w:kern w:val="2"/>
          <w:sz w:val="28"/>
          <w:szCs w:val="28"/>
        </w:rPr>
        <w:t>有关要求</w:t>
      </w:r>
      <w:r>
        <w:rPr>
          <w:rFonts w:eastAsia="仿宋_GB2312"/>
          <w:color w:val="auto"/>
          <w:kern w:val="2"/>
          <w:sz w:val="28"/>
          <w:szCs w:val="28"/>
        </w:rPr>
        <w:t>，</w:t>
      </w:r>
      <w:r>
        <w:rPr>
          <w:rFonts w:hint="eastAsia" w:eastAsia="仿宋_GB2312"/>
          <w:color w:val="auto"/>
          <w:kern w:val="2"/>
          <w:sz w:val="28"/>
          <w:szCs w:val="28"/>
        </w:rPr>
        <w:t>制定《</w:t>
      </w:r>
      <w:r>
        <w:rPr>
          <w:rFonts w:eastAsia="仿宋_GB2312"/>
          <w:color w:val="auto"/>
          <w:kern w:val="2"/>
          <w:sz w:val="28"/>
          <w:szCs w:val="28"/>
        </w:rPr>
        <w:t>威海市矿产资源总体规划</w:t>
      </w:r>
      <w:r>
        <w:rPr>
          <w:rFonts w:hint="eastAsia" w:eastAsia="仿宋_GB2312"/>
          <w:color w:val="auto"/>
          <w:kern w:val="2"/>
          <w:sz w:val="28"/>
          <w:szCs w:val="28"/>
        </w:rPr>
        <w:t>（2021—2025年）》</w:t>
      </w:r>
      <w:r>
        <w:rPr>
          <w:rFonts w:eastAsia="仿宋_GB2312"/>
          <w:color w:val="auto"/>
          <w:kern w:val="2"/>
          <w:sz w:val="28"/>
          <w:szCs w:val="28"/>
        </w:rPr>
        <w:t>（以下简称《规划》）。</w:t>
      </w:r>
    </w:p>
    <w:p>
      <w:pPr>
        <w:widowControl w:val="0"/>
        <w:spacing w:line="560" w:lineRule="exact"/>
        <w:ind w:firstLine="560" w:firstLineChars="200"/>
        <w:jc w:val="both"/>
        <w:rPr>
          <w:rFonts w:eastAsia="仿宋_GB2312"/>
          <w:color w:val="auto"/>
          <w:kern w:val="2"/>
          <w:sz w:val="28"/>
          <w:szCs w:val="28"/>
        </w:rPr>
      </w:pPr>
      <w:r>
        <w:rPr>
          <w:rFonts w:eastAsia="仿宋_GB2312"/>
          <w:color w:val="auto"/>
          <w:kern w:val="2"/>
          <w:sz w:val="28"/>
          <w:szCs w:val="28"/>
        </w:rPr>
        <w:t>《规划》</w:t>
      </w:r>
      <w:r>
        <w:rPr>
          <w:rFonts w:hint="eastAsia" w:eastAsia="仿宋_GB2312"/>
          <w:color w:val="auto"/>
          <w:kern w:val="2"/>
          <w:sz w:val="28"/>
          <w:szCs w:val="28"/>
        </w:rPr>
        <w:t>细化落实上级矿产资源总体规划要求，对本级审批发证的矿产资源勘查、开发利用与保护活动进行了详细部署安排。《规划》是</w:t>
      </w:r>
      <w:r>
        <w:rPr>
          <w:rFonts w:eastAsia="仿宋_GB2312"/>
          <w:color w:val="auto"/>
          <w:kern w:val="2"/>
          <w:sz w:val="28"/>
          <w:szCs w:val="28"/>
        </w:rPr>
        <w:t>依法审批</w:t>
      </w:r>
      <w:r>
        <w:rPr>
          <w:rFonts w:hint="eastAsia" w:eastAsia="仿宋_GB2312"/>
          <w:color w:val="auto"/>
          <w:kern w:val="2"/>
          <w:sz w:val="28"/>
          <w:szCs w:val="28"/>
        </w:rPr>
        <w:t>、精细管理</w:t>
      </w:r>
      <w:r>
        <w:rPr>
          <w:rFonts w:eastAsia="仿宋_GB2312"/>
          <w:color w:val="auto"/>
          <w:kern w:val="2"/>
          <w:sz w:val="28"/>
          <w:szCs w:val="28"/>
        </w:rPr>
        <w:t>和</w:t>
      </w:r>
      <w:r>
        <w:rPr>
          <w:rFonts w:hint="eastAsia" w:eastAsia="仿宋_GB2312"/>
          <w:color w:val="auto"/>
          <w:kern w:val="2"/>
          <w:sz w:val="28"/>
          <w:szCs w:val="28"/>
        </w:rPr>
        <w:t>监督本级矿产资源</w:t>
      </w:r>
      <w:r>
        <w:rPr>
          <w:rFonts w:eastAsia="仿宋_GB2312"/>
          <w:color w:val="auto"/>
          <w:kern w:val="2"/>
          <w:sz w:val="28"/>
          <w:szCs w:val="28"/>
        </w:rPr>
        <w:t>勘查、开发利用</w:t>
      </w:r>
      <w:r>
        <w:rPr>
          <w:rFonts w:hint="eastAsia" w:eastAsia="仿宋_GB2312"/>
          <w:color w:val="auto"/>
          <w:kern w:val="2"/>
          <w:sz w:val="28"/>
          <w:szCs w:val="28"/>
        </w:rPr>
        <w:t>和保护</w:t>
      </w:r>
      <w:r>
        <w:rPr>
          <w:rFonts w:eastAsia="仿宋_GB2312"/>
          <w:color w:val="auto"/>
          <w:kern w:val="2"/>
          <w:sz w:val="28"/>
          <w:szCs w:val="28"/>
        </w:rPr>
        <w:t>的依据。</w:t>
      </w:r>
    </w:p>
    <w:p>
      <w:pPr>
        <w:widowControl w:val="0"/>
        <w:spacing w:line="560" w:lineRule="exact"/>
        <w:ind w:firstLine="560" w:firstLineChars="200"/>
        <w:jc w:val="both"/>
        <w:rPr>
          <w:rFonts w:eastAsia="仿宋_GB2312"/>
          <w:color w:val="auto"/>
          <w:kern w:val="2"/>
          <w:sz w:val="28"/>
          <w:szCs w:val="28"/>
        </w:rPr>
      </w:pPr>
      <w:r>
        <w:rPr>
          <w:rFonts w:eastAsia="仿宋_GB2312"/>
          <w:color w:val="auto"/>
          <w:kern w:val="2"/>
          <w:sz w:val="28"/>
          <w:szCs w:val="28"/>
        </w:rPr>
        <w:t>《规划》以20</w:t>
      </w:r>
      <w:r>
        <w:rPr>
          <w:rFonts w:hint="eastAsia" w:eastAsia="仿宋_GB2312"/>
          <w:color w:val="auto"/>
          <w:kern w:val="2"/>
          <w:sz w:val="28"/>
          <w:szCs w:val="28"/>
        </w:rPr>
        <w:t>20</w:t>
      </w:r>
      <w:r>
        <w:rPr>
          <w:rFonts w:eastAsia="仿宋_GB2312"/>
          <w:color w:val="auto"/>
          <w:kern w:val="2"/>
          <w:sz w:val="28"/>
          <w:szCs w:val="28"/>
        </w:rPr>
        <w:t>年为基准年，20</w:t>
      </w:r>
      <w:r>
        <w:rPr>
          <w:rFonts w:hint="eastAsia" w:eastAsia="仿宋_GB2312"/>
          <w:color w:val="auto"/>
          <w:kern w:val="2"/>
          <w:sz w:val="28"/>
          <w:szCs w:val="28"/>
        </w:rPr>
        <w:t>21</w:t>
      </w:r>
      <w:r>
        <w:rPr>
          <w:rFonts w:eastAsia="仿宋_GB2312"/>
          <w:color w:val="auto"/>
          <w:kern w:val="2"/>
          <w:sz w:val="28"/>
          <w:szCs w:val="28"/>
        </w:rPr>
        <w:t>年至202</w:t>
      </w:r>
      <w:r>
        <w:rPr>
          <w:rFonts w:hint="eastAsia" w:eastAsia="仿宋_GB2312"/>
          <w:color w:val="auto"/>
          <w:kern w:val="2"/>
          <w:sz w:val="28"/>
          <w:szCs w:val="28"/>
        </w:rPr>
        <w:t>5</w:t>
      </w:r>
      <w:r>
        <w:rPr>
          <w:rFonts w:eastAsia="仿宋_GB2312"/>
          <w:color w:val="auto"/>
          <w:kern w:val="2"/>
          <w:sz w:val="28"/>
          <w:szCs w:val="28"/>
        </w:rPr>
        <w:t>年为规划期，展望到20</w:t>
      </w:r>
      <w:r>
        <w:rPr>
          <w:rFonts w:hint="eastAsia" w:eastAsia="仿宋_GB2312"/>
          <w:color w:val="auto"/>
          <w:kern w:val="2"/>
          <w:sz w:val="28"/>
          <w:szCs w:val="28"/>
        </w:rPr>
        <w:t>3</w:t>
      </w:r>
      <w:r>
        <w:rPr>
          <w:rFonts w:eastAsia="仿宋_GB2312"/>
          <w:color w:val="auto"/>
          <w:kern w:val="2"/>
          <w:sz w:val="28"/>
          <w:szCs w:val="28"/>
        </w:rPr>
        <w:t>5年。</w:t>
      </w:r>
    </w:p>
    <w:p>
      <w:pPr>
        <w:widowControl w:val="0"/>
        <w:spacing w:line="560" w:lineRule="exact"/>
        <w:ind w:firstLine="560" w:firstLineChars="200"/>
        <w:jc w:val="both"/>
        <w:rPr>
          <w:rFonts w:eastAsia="仿宋_GB2312"/>
          <w:color w:val="auto"/>
          <w:kern w:val="2"/>
          <w:sz w:val="28"/>
          <w:szCs w:val="28"/>
        </w:rPr>
      </w:pPr>
      <w:r>
        <w:rPr>
          <w:rFonts w:eastAsia="仿宋_GB2312"/>
          <w:color w:val="auto"/>
          <w:kern w:val="2"/>
          <w:sz w:val="28"/>
          <w:szCs w:val="28"/>
        </w:rPr>
        <w:t>《规划》适用</w:t>
      </w:r>
      <w:r>
        <w:rPr>
          <w:rFonts w:hint="eastAsia" w:eastAsia="仿宋_GB2312"/>
          <w:color w:val="auto"/>
          <w:kern w:val="2"/>
          <w:sz w:val="28"/>
          <w:szCs w:val="28"/>
        </w:rPr>
        <w:t>于威海市</w:t>
      </w:r>
      <w:r>
        <w:rPr>
          <w:rFonts w:eastAsia="仿宋_GB2312"/>
          <w:color w:val="auto"/>
          <w:kern w:val="2"/>
          <w:sz w:val="28"/>
          <w:szCs w:val="28"/>
        </w:rPr>
        <w:t>所辖行政区。</w:t>
      </w:r>
    </w:p>
    <w:p>
      <w:pPr>
        <w:widowControl w:val="0"/>
        <w:spacing w:line="540" w:lineRule="exact"/>
        <w:ind w:firstLine="560" w:firstLineChars="200"/>
        <w:jc w:val="both"/>
        <w:rPr>
          <w:rFonts w:eastAsia="仿宋_GB2312"/>
          <w:color w:val="auto"/>
          <w:kern w:val="2"/>
          <w:sz w:val="28"/>
          <w:szCs w:val="28"/>
        </w:rPr>
        <w:sectPr>
          <w:footerReference r:id="rId7" w:type="default"/>
          <w:pgSz w:w="11906" w:h="16838"/>
          <w:pgMar w:top="1440" w:right="1797" w:bottom="1440" w:left="1797" w:header="709" w:footer="709" w:gutter="0"/>
          <w:pgNumType w:start="1"/>
          <w:cols w:space="708" w:num="1"/>
          <w:docGrid w:linePitch="360" w:charSpace="0"/>
        </w:sectPr>
      </w:pPr>
    </w:p>
    <w:p>
      <w:pPr>
        <w:pStyle w:val="2"/>
        <w:widowControl w:val="0"/>
        <w:spacing w:before="360" w:after="360" w:line="560" w:lineRule="exact"/>
        <w:ind w:firstLine="640" w:firstLineChars="200"/>
        <w:jc w:val="both"/>
        <w:rPr>
          <w:rFonts w:eastAsia="黑体" w:cs="黑体"/>
          <w:b w:val="0"/>
          <w:bCs w:val="0"/>
          <w:color w:val="auto"/>
          <w:kern w:val="0"/>
          <w:sz w:val="32"/>
          <w:szCs w:val="32"/>
        </w:rPr>
      </w:pPr>
      <w:bookmarkStart w:id="1" w:name="_Toc79415208"/>
      <w:r>
        <w:rPr>
          <w:rFonts w:hint="eastAsia" w:eastAsia="黑体" w:cs="黑体"/>
          <w:b w:val="0"/>
          <w:bCs w:val="0"/>
          <w:color w:val="auto"/>
          <w:kern w:val="0"/>
          <w:sz w:val="32"/>
          <w:szCs w:val="32"/>
        </w:rPr>
        <w:t>一、现状与形势</w:t>
      </w:r>
      <w:bookmarkEnd w:id="1"/>
    </w:p>
    <w:p>
      <w:pPr>
        <w:pStyle w:val="3"/>
        <w:widowControl w:val="0"/>
        <w:spacing w:beforeLines="50" w:afterLines="50" w:line="560" w:lineRule="exact"/>
        <w:ind w:firstLine="643" w:firstLineChars="200"/>
        <w:rPr>
          <w:rFonts w:ascii="Times New Roman" w:hAnsi="Times New Roman" w:eastAsia="楷体" w:cs="楷体"/>
          <w:color w:val="auto"/>
          <w:kern w:val="2"/>
        </w:rPr>
      </w:pPr>
      <w:bookmarkStart w:id="2" w:name="_Toc79415209"/>
      <w:bookmarkStart w:id="3" w:name="_Toc455576687"/>
      <w:bookmarkStart w:id="4" w:name="_Toc184977516"/>
      <w:bookmarkStart w:id="5" w:name="_Toc185255919"/>
      <w:r>
        <w:rPr>
          <w:rFonts w:ascii="Times New Roman" w:hAnsi="Times New Roman" w:eastAsia="楷体" w:cs="楷体"/>
          <w:color w:val="auto"/>
          <w:kern w:val="2"/>
        </w:rPr>
        <w:t>（一）</w:t>
      </w:r>
      <w:r>
        <w:rPr>
          <w:rFonts w:hint="eastAsia" w:ascii="Times New Roman" w:hAnsi="Times New Roman" w:eastAsia="楷体" w:cs="楷体"/>
          <w:color w:val="auto"/>
          <w:kern w:val="2"/>
        </w:rPr>
        <w:t>经济社会发展概况</w:t>
      </w:r>
      <w:bookmarkEnd w:id="2"/>
    </w:p>
    <w:p>
      <w:pPr>
        <w:widowControl w:val="0"/>
        <w:spacing w:line="560" w:lineRule="exact"/>
        <w:ind w:firstLine="560" w:firstLineChars="200"/>
        <w:jc w:val="both"/>
        <w:rPr>
          <w:rFonts w:eastAsia="仿宋_GB2312"/>
          <w:color w:val="auto"/>
          <w:kern w:val="2"/>
          <w:sz w:val="28"/>
          <w:szCs w:val="28"/>
        </w:rPr>
      </w:pPr>
      <w:r>
        <w:rPr>
          <w:rFonts w:eastAsia="仿宋_GB2312"/>
          <w:color w:val="auto"/>
          <w:kern w:val="2"/>
          <w:sz w:val="28"/>
          <w:szCs w:val="28"/>
        </w:rPr>
        <w:t>威海市位于山东半岛东端，地处东经121°11′～122°42′，北纬36°41′～37°35′。北东南三面濒临黄海，北与辽东半岛相对，东及东南与朝鲜半岛和日本列岛隔海相望，西与烟台市接壤。东西最大横距</w:t>
      </w:r>
      <w:r>
        <w:rPr>
          <w:rFonts w:hint="eastAsia" w:eastAsia="仿宋_GB2312"/>
          <w:color w:val="auto"/>
          <w:kern w:val="2"/>
          <w:sz w:val="28"/>
          <w:szCs w:val="28"/>
        </w:rPr>
        <w:t>135千米，南北最大纵距81千米，陆域总</w:t>
      </w:r>
      <w:r>
        <w:rPr>
          <w:rFonts w:eastAsia="仿宋_GB2312"/>
          <w:color w:val="auto"/>
          <w:kern w:val="2"/>
          <w:sz w:val="28"/>
          <w:szCs w:val="28"/>
        </w:rPr>
        <w:t>面积</w:t>
      </w:r>
      <w:r>
        <w:rPr>
          <w:rFonts w:hint="eastAsia" w:eastAsia="仿宋_GB2312"/>
          <w:color w:val="auto"/>
          <w:kern w:val="2"/>
          <w:sz w:val="28"/>
          <w:szCs w:val="28"/>
        </w:rPr>
        <w:t>5534.8平方千米。</w:t>
      </w:r>
      <w:r>
        <w:rPr>
          <w:rFonts w:eastAsia="仿宋_GB2312"/>
          <w:color w:val="auto"/>
          <w:kern w:val="2"/>
          <w:sz w:val="28"/>
          <w:szCs w:val="28"/>
        </w:rPr>
        <w:t>海岸线长</w:t>
      </w:r>
      <w:r>
        <w:rPr>
          <w:rFonts w:hint="eastAsia" w:eastAsia="仿宋_GB2312"/>
          <w:color w:val="auto"/>
          <w:kern w:val="2"/>
          <w:sz w:val="28"/>
          <w:szCs w:val="28"/>
        </w:rPr>
        <w:t>943.8千米</w:t>
      </w:r>
      <w:r>
        <w:rPr>
          <w:rFonts w:eastAsia="仿宋_GB2312"/>
          <w:color w:val="auto"/>
          <w:kern w:val="2"/>
          <w:sz w:val="28"/>
          <w:szCs w:val="28"/>
        </w:rPr>
        <w:t>。辖环翠区、文登区、荣成市</w:t>
      </w:r>
      <w:r>
        <w:rPr>
          <w:rFonts w:hint="eastAsia" w:eastAsia="仿宋_GB2312"/>
          <w:color w:val="auto"/>
          <w:kern w:val="2"/>
          <w:sz w:val="28"/>
          <w:szCs w:val="28"/>
        </w:rPr>
        <w:t>和</w:t>
      </w:r>
      <w:r>
        <w:rPr>
          <w:rFonts w:eastAsia="仿宋_GB2312"/>
          <w:color w:val="auto"/>
          <w:kern w:val="2"/>
          <w:sz w:val="28"/>
          <w:szCs w:val="28"/>
        </w:rPr>
        <w:t>乳山市，</w:t>
      </w:r>
      <w:r>
        <w:rPr>
          <w:rFonts w:hint="eastAsia" w:eastAsia="仿宋_GB2312"/>
          <w:color w:val="auto"/>
          <w:kern w:val="2"/>
          <w:sz w:val="28"/>
          <w:szCs w:val="28"/>
        </w:rPr>
        <w:t>全市常住人口290.65万人</w:t>
      </w:r>
      <w:r>
        <w:rPr>
          <w:rFonts w:eastAsia="仿宋_GB2312"/>
          <w:color w:val="auto"/>
          <w:kern w:val="2"/>
          <w:sz w:val="28"/>
          <w:szCs w:val="28"/>
        </w:rPr>
        <w:t>。</w:t>
      </w:r>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“十三五”时期，</w:t>
      </w:r>
      <w:r>
        <w:rPr>
          <w:rFonts w:hint="eastAsia" w:ascii="楷体_GB2312" w:eastAsia="楷体_GB2312"/>
          <w:color w:val="auto"/>
          <w:kern w:val="2"/>
          <w:sz w:val="28"/>
          <w:szCs w:val="28"/>
        </w:rPr>
        <w:t>威海市综合实力跃上新台阶：</w:t>
      </w:r>
      <w:r>
        <w:rPr>
          <w:rFonts w:hint="eastAsia" w:eastAsia="仿宋_GB2312"/>
          <w:color w:val="auto"/>
          <w:kern w:val="2"/>
          <w:sz w:val="28"/>
          <w:szCs w:val="28"/>
        </w:rPr>
        <w:t>地区生产总值达到3017.8亿元，年均增长5.9%；</w:t>
      </w:r>
      <w:r>
        <w:rPr>
          <w:rFonts w:hint="eastAsia" w:ascii="楷体_GB2312" w:eastAsia="楷体_GB2312"/>
          <w:color w:val="auto"/>
          <w:kern w:val="2"/>
          <w:sz w:val="28"/>
          <w:szCs w:val="28"/>
        </w:rPr>
        <w:t>动能转换迈出新步伐：</w:t>
      </w:r>
      <w:r>
        <w:rPr>
          <w:rFonts w:hint="eastAsia" w:eastAsia="仿宋_GB2312"/>
          <w:color w:val="auto"/>
          <w:kern w:val="2"/>
          <w:sz w:val="28"/>
          <w:szCs w:val="28"/>
        </w:rPr>
        <w:t>“四新”经济增加值占GDP比重达3</w:t>
      </w:r>
      <w:r>
        <w:rPr>
          <w:rFonts w:eastAsia="仿宋_GB2312"/>
          <w:color w:val="auto"/>
          <w:kern w:val="2"/>
          <w:sz w:val="28"/>
          <w:szCs w:val="28"/>
        </w:rPr>
        <w:t>1.9%</w:t>
      </w:r>
      <w:r>
        <w:rPr>
          <w:rFonts w:hint="eastAsia" w:eastAsia="仿宋_GB2312"/>
          <w:color w:val="auto"/>
          <w:kern w:val="2"/>
          <w:sz w:val="28"/>
          <w:szCs w:val="28"/>
        </w:rPr>
        <w:t>，居全省第5位；</w:t>
      </w:r>
      <w:r>
        <w:rPr>
          <w:rFonts w:hint="eastAsia" w:ascii="楷体_GB2312" w:eastAsia="楷体_GB2312"/>
          <w:color w:val="auto"/>
          <w:kern w:val="2"/>
          <w:sz w:val="28"/>
          <w:szCs w:val="28"/>
        </w:rPr>
        <w:t>精致城市树立新标杆：</w:t>
      </w:r>
      <w:r>
        <w:rPr>
          <w:rFonts w:hint="eastAsia" w:eastAsia="仿宋_GB2312"/>
          <w:color w:val="auto"/>
          <w:kern w:val="2"/>
          <w:sz w:val="28"/>
          <w:szCs w:val="28"/>
        </w:rPr>
        <w:t>入选国家“城市双修”试点、“无废城市”建设试点，获批全国首个“美丽城市”建设试点等；</w:t>
      </w:r>
      <w:r>
        <w:rPr>
          <w:rFonts w:hint="eastAsia" w:ascii="楷体_GB2312" w:eastAsia="楷体_GB2312"/>
          <w:color w:val="auto"/>
          <w:kern w:val="2"/>
          <w:sz w:val="28"/>
          <w:szCs w:val="28"/>
        </w:rPr>
        <w:t>改革开放打造新高地：</w:t>
      </w:r>
      <w:r>
        <w:rPr>
          <w:rFonts w:hint="eastAsia" w:eastAsia="仿宋_GB2312"/>
          <w:color w:val="auto"/>
          <w:kern w:val="2"/>
          <w:sz w:val="28"/>
          <w:szCs w:val="28"/>
        </w:rPr>
        <w:t>持续深化放管服改革，深入实施城市国际化战略，“十三五”期间，全市累计利用外资达到5</w:t>
      </w:r>
      <w:r>
        <w:rPr>
          <w:rFonts w:eastAsia="仿宋_GB2312"/>
          <w:color w:val="auto"/>
          <w:kern w:val="2"/>
          <w:sz w:val="28"/>
          <w:szCs w:val="28"/>
        </w:rPr>
        <w:t>9.4</w:t>
      </w:r>
      <w:r>
        <w:rPr>
          <w:rFonts w:hint="eastAsia" w:eastAsia="仿宋_GB2312"/>
          <w:color w:val="auto"/>
          <w:kern w:val="2"/>
          <w:sz w:val="28"/>
          <w:szCs w:val="28"/>
        </w:rPr>
        <w:t>亿美元；</w:t>
      </w:r>
      <w:r>
        <w:rPr>
          <w:rFonts w:hint="eastAsia" w:ascii="楷体_GB2312" w:eastAsia="楷体_GB2312"/>
          <w:color w:val="auto"/>
          <w:kern w:val="2"/>
          <w:sz w:val="28"/>
          <w:szCs w:val="28"/>
        </w:rPr>
        <w:t>重大战略释放新潜能：</w:t>
      </w:r>
      <w:r>
        <w:rPr>
          <w:rFonts w:hint="eastAsia" w:eastAsia="仿宋_GB2312"/>
          <w:color w:val="auto"/>
          <w:kern w:val="2"/>
          <w:sz w:val="28"/>
          <w:szCs w:val="28"/>
        </w:rPr>
        <w:t>全面推进海洋强市建设，海洋经济增加值占GDP比重达到3</w:t>
      </w:r>
      <w:r>
        <w:rPr>
          <w:rFonts w:eastAsia="仿宋_GB2312"/>
          <w:color w:val="auto"/>
          <w:kern w:val="2"/>
          <w:sz w:val="28"/>
          <w:szCs w:val="28"/>
        </w:rPr>
        <w:t>4%</w:t>
      </w:r>
      <w:r>
        <w:rPr>
          <w:rFonts w:hint="eastAsia" w:eastAsia="仿宋_GB2312"/>
          <w:color w:val="auto"/>
          <w:kern w:val="2"/>
          <w:sz w:val="28"/>
          <w:szCs w:val="28"/>
        </w:rPr>
        <w:t>左右，8</w:t>
      </w:r>
      <w:r>
        <w:rPr>
          <w:rFonts w:eastAsia="仿宋_GB2312"/>
          <w:color w:val="auto"/>
          <w:kern w:val="2"/>
          <w:sz w:val="28"/>
          <w:szCs w:val="28"/>
        </w:rPr>
        <w:t>0</w:t>
      </w:r>
      <w:r>
        <w:rPr>
          <w:rFonts w:hint="eastAsia" w:eastAsia="仿宋_GB2312"/>
          <w:color w:val="auto"/>
          <w:kern w:val="2"/>
          <w:sz w:val="28"/>
          <w:szCs w:val="28"/>
        </w:rPr>
        <w:t>个乡村振兴样板区加快推进；</w:t>
      </w:r>
      <w:r>
        <w:rPr>
          <w:rFonts w:hint="eastAsia" w:ascii="楷体_GB2312" w:eastAsia="楷体_GB2312"/>
          <w:color w:val="auto"/>
          <w:kern w:val="2"/>
          <w:sz w:val="28"/>
          <w:szCs w:val="28"/>
        </w:rPr>
        <w:t>基础设施取得新突破：</w:t>
      </w:r>
      <w:r>
        <w:rPr>
          <w:rFonts w:hint="eastAsia" w:eastAsia="仿宋_GB2312"/>
          <w:color w:val="auto"/>
          <w:kern w:val="2"/>
          <w:sz w:val="28"/>
          <w:szCs w:val="28"/>
        </w:rPr>
        <w:t>省内首条城际高速铁路-青荣城际铁路全线通车，全市公路网总规模达到7</w:t>
      </w:r>
      <w:r>
        <w:rPr>
          <w:rFonts w:eastAsia="仿宋_GB2312"/>
          <w:color w:val="auto"/>
          <w:kern w:val="2"/>
          <w:sz w:val="28"/>
          <w:szCs w:val="28"/>
        </w:rPr>
        <w:t>230</w:t>
      </w:r>
      <w:r>
        <w:rPr>
          <w:rFonts w:hint="eastAsia" w:eastAsia="仿宋_GB2312"/>
          <w:color w:val="auto"/>
          <w:kern w:val="2"/>
          <w:sz w:val="28"/>
          <w:szCs w:val="28"/>
        </w:rPr>
        <w:t>公里，港口吞吐能力达到120万左右标箱，全市发电装机总容量</w:t>
      </w:r>
      <w:r>
        <w:rPr>
          <w:rFonts w:hint="eastAsia" w:eastAsia="仿宋_GB2312"/>
          <w:color w:val="auto"/>
          <w:kern w:val="2"/>
          <w:sz w:val="28"/>
          <w:szCs w:val="28"/>
          <w:lang w:val="en-US" w:eastAsia="zh-CN"/>
        </w:rPr>
        <w:t>437.36</w:t>
      </w:r>
      <w:r>
        <w:rPr>
          <w:rFonts w:hint="eastAsia" w:eastAsia="仿宋_GB2312"/>
          <w:color w:val="auto"/>
          <w:kern w:val="2"/>
          <w:sz w:val="28"/>
          <w:szCs w:val="28"/>
        </w:rPr>
        <w:t>万千瓦，新能源装机占比</w:t>
      </w:r>
      <w:r>
        <w:rPr>
          <w:rFonts w:hint="eastAsia" w:eastAsia="仿宋_GB2312"/>
          <w:color w:val="auto"/>
          <w:kern w:val="2"/>
          <w:sz w:val="28"/>
          <w:szCs w:val="28"/>
          <w:lang w:val="en-US" w:eastAsia="zh-CN"/>
        </w:rPr>
        <w:t>33.19</w:t>
      </w:r>
      <w:r>
        <w:rPr>
          <w:rFonts w:hint="eastAsia" w:eastAsia="仿宋_GB2312"/>
          <w:color w:val="auto"/>
          <w:kern w:val="2"/>
          <w:sz w:val="28"/>
          <w:szCs w:val="28"/>
        </w:rPr>
        <w:t>%。</w:t>
      </w:r>
      <w:r>
        <w:rPr>
          <w:rFonts w:hint="eastAsia" w:ascii="楷体_GB2312" w:eastAsia="楷体_GB2312"/>
          <w:color w:val="auto"/>
          <w:kern w:val="2"/>
          <w:sz w:val="28"/>
          <w:szCs w:val="28"/>
        </w:rPr>
        <w:t>三大攻坚战获得新成效：</w:t>
      </w:r>
      <w:r>
        <w:rPr>
          <w:rFonts w:hint="eastAsia" w:eastAsia="仿宋_GB2312"/>
          <w:color w:val="auto"/>
          <w:kern w:val="2"/>
          <w:sz w:val="28"/>
          <w:szCs w:val="28"/>
        </w:rPr>
        <w:t>全市建档立卡人口全部达到省定脱贫标准，人均纯收入由3</w:t>
      </w:r>
      <w:r>
        <w:rPr>
          <w:rFonts w:eastAsia="仿宋_GB2312"/>
          <w:color w:val="auto"/>
          <w:kern w:val="2"/>
          <w:sz w:val="28"/>
          <w:szCs w:val="28"/>
        </w:rPr>
        <w:t>779</w:t>
      </w:r>
      <w:r>
        <w:rPr>
          <w:rFonts w:hint="eastAsia" w:eastAsia="仿宋_GB2312"/>
          <w:color w:val="auto"/>
          <w:kern w:val="2"/>
          <w:sz w:val="28"/>
          <w:szCs w:val="28"/>
        </w:rPr>
        <w:t>元增加到9</w:t>
      </w:r>
      <w:r>
        <w:rPr>
          <w:rFonts w:eastAsia="仿宋_GB2312"/>
          <w:color w:val="auto"/>
          <w:kern w:val="2"/>
          <w:sz w:val="28"/>
          <w:szCs w:val="28"/>
        </w:rPr>
        <w:t>131</w:t>
      </w:r>
      <w:r>
        <w:rPr>
          <w:rFonts w:hint="eastAsia" w:eastAsia="仿宋_GB2312"/>
          <w:color w:val="auto"/>
          <w:kern w:val="2"/>
          <w:sz w:val="28"/>
          <w:szCs w:val="28"/>
        </w:rPr>
        <w:t>元，年均增长1</w:t>
      </w:r>
      <w:r>
        <w:rPr>
          <w:rFonts w:eastAsia="仿宋_GB2312"/>
          <w:color w:val="auto"/>
          <w:kern w:val="2"/>
          <w:sz w:val="28"/>
          <w:szCs w:val="28"/>
        </w:rPr>
        <w:t>9.3%</w:t>
      </w:r>
      <w:r>
        <w:rPr>
          <w:rFonts w:hint="eastAsia" w:eastAsia="仿宋_GB2312"/>
          <w:color w:val="auto"/>
          <w:kern w:val="2"/>
          <w:sz w:val="28"/>
          <w:szCs w:val="28"/>
        </w:rPr>
        <w:t>，煤炭压减超额完成省定目标，单位生产总值能耗下降2</w:t>
      </w:r>
      <w:r>
        <w:rPr>
          <w:rFonts w:eastAsia="仿宋_GB2312"/>
          <w:color w:val="auto"/>
          <w:kern w:val="2"/>
          <w:sz w:val="28"/>
          <w:szCs w:val="28"/>
        </w:rPr>
        <w:t>0.5%</w:t>
      </w:r>
      <w:r>
        <w:rPr>
          <w:rFonts w:hint="eastAsia" w:eastAsia="仿宋_GB2312"/>
          <w:color w:val="auto"/>
          <w:kern w:val="2"/>
          <w:sz w:val="28"/>
          <w:szCs w:val="28"/>
        </w:rPr>
        <w:t>；</w:t>
      </w:r>
      <w:r>
        <w:rPr>
          <w:rFonts w:hint="eastAsia" w:ascii="楷体_GB2312" w:eastAsia="楷体_GB2312"/>
          <w:color w:val="auto"/>
          <w:kern w:val="2"/>
          <w:sz w:val="28"/>
          <w:szCs w:val="28"/>
        </w:rPr>
        <w:t>民生事业展现新作为：</w:t>
      </w:r>
      <w:r>
        <w:rPr>
          <w:rFonts w:hint="eastAsia" w:eastAsia="仿宋_GB2312"/>
          <w:color w:val="auto"/>
          <w:kern w:val="2"/>
          <w:sz w:val="28"/>
          <w:szCs w:val="28"/>
        </w:rPr>
        <w:t>居民人均可支配收入达到41137元，年均增长</w:t>
      </w:r>
      <w:r>
        <w:rPr>
          <w:rFonts w:eastAsia="仿宋_GB2312"/>
          <w:color w:val="auto"/>
          <w:kern w:val="2"/>
          <w:sz w:val="28"/>
          <w:szCs w:val="28"/>
        </w:rPr>
        <w:t>7.6</w:t>
      </w:r>
      <w:r>
        <w:rPr>
          <w:rFonts w:hint="eastAsia" w:eastAsia="仿宋_GB2312"/>
          <w:color w:val="auto"/>
          <w:kern w:val="2"/>
          <w:sz w:val="28"/>
          <w:szCs w:val="28"/>
        </w:rPr>
        <w:t>%，获批全国健康城市试点、国家级医养结合试点，荣获中国最具幸福感城市称号。</w:t>
      </w:r>
    </w:p>
    <w:p>
      <w:pPr>
        <w:pStyle w:val="3"/>
        <w:widowControl w:val="0"/>
        <w:spacing w:beforeLines="50" w:afterLines="50" w:line="560" w:lineRule="exact"/>
        <w:ind w:firstLine="643" w:firstLineChars="200"/>
        <w:jc w:val="both"/>
        <w:rPr>
          <w:rFonts w:ascii="Times New Roman" w:hAnsi="Times New Roman" w:eastAsia="楷体" w:cs="楷体"/>
          <w:color w:val="auto"/>
          <w:kern w:val="2"/>
        </w:rPr>
      </w:pPr>
      <w:bookmarkStart w:id="6" w:name="_Toc79415210"/>
      <w:r>
        <w:rPr>
          <w:rFonts w:hint="eastAsia" w:ascii="Times New Roman" w:hAnsi="Times New Roman" w:eastAsia="楷体" w:cs="楷体"/>
          <w:color w:val="auto"/>
          <w:kern w:val="2"/>
        </w:rPr>
        <w:t>（二）矿产资源勘查、开采与矿区生态修复保护现状</w:t>
      </w:r>
      <w:bookmarkEnd w:id="6"/>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截至2020年底</w:t>
      </w:r>
      <w:r>
        <w:rPr>
          <w:rFonts w:eastAsia="仿宋_GB2312"/>
          <w:color w:val="auto"/>
          <w:kern w:val="2"/>
          <w:sz w:val="28"/>
          <w:szCs w:val="28"/>
        </w:rPr>
        <w:t>，</w:t>
      </w:r>
      <w:r>
        <w:rPr>
          <w:rFonts w:hint="eastAsia" w:eastAsia="仿宋_GB2312"/>
          <w:color w:val="auto"/>
          <w:kern w:val="2"/>
          <w:sz w:val="28"/>
          <w:szCs w:val="28"/>
        </w:rPr>
        <w:t>威海市已</w:t>
      </w:r>
      <w:r>
        <w:rPr>
          <w:rFonts w:eastAsia="仿宋_GB2312"/>
          <w:color w:val="auto"/>
          <w:kern w:val="2"/>
          <w:sz w:val="28"/>
          <w:szCs w:val="28"/>
        </w:rPr>
        <w:t>发现</w:t>
      </w:r>
      <w:r>
        <w:rPr>
          <w:rFonts w:hint="eastAsia" w:eastAsia="仿宋_GB2312"/>
          <w:color w:val="auto"/>
          <w:kern w:val="2"/>
          <w:sz w:val="28"/>
          <w:szCs w:val="28"/>
        </w:rPr>
        <w:t>矿产资源</w:t>
      </w:r>
      <w:r>
        <w:rPr>
          <w:rFonts w:eastAsia="仿宋_GB2312"/>
          <w:color w:val="auto"/>
          <w:kern w:val="2"/>
          <w:sz w:val="28"/>
          <w:szCs w:val="28"/>
        </w:rPr>
        <w:t>4</w:t>
      </w:r>
      <w:r>
        <w:rPr>
          <w:rFonts w:hint="eastAsia" w:eastAsia="仿宋_GB2312"/>
          <w:color w:val="auto"/>
          <w:kern w:val="2"/>
          <w:sz w:val="28"/>
          <w:szCs w:val="28"/>
        </w:rPr>
        <w:t>9种</w:t>
      </w:r>
      <w:r>
        <w:rPr>
          <w:rFonts w:eastAsia="仿宋_GB2312"/>
          <w:color w:val="auto"/>
          <w:kern w:val="2"/>
          <w:sz w:val="28"/>
          <w:szCs w:val="28"/>
        </w:rPr>
        <w:t>，</w:t>
      </w:r>
      <w:r>
        <w:rPr>
          <w:rFonts w:hint="eastAsia" w:eastAsia="仿宋_GB2312"/>
          <w:color w:val="auto"/>
          <w:kern w:val="2"/>
          <w:sz w:val="28"/>
          <w:szCs w:val="28"/>
        </w:rPr>
        <w:t>查明或探获资源储量的矿产30种，其中入山东省储量表的23种，其中能源矿产1种、金属矿产11种、非金属矿产9种、水气矿产2种</w:t>
      </w:r>
      <w:r>
        <w:rPr>
          <w:rFonts w:hint="eastAsia" w:eastAsia="仿宋_GB2312"/>
          <w:color w:val="auto"/>
          <w:kern w:val="2"/>
          <w:sz w:val="28"/>
          <w:szCs w:val="28"/>
        </w:rPr>
        <w:t>。</w:t>
      </w:r>
      <w:r>
        <w:rPr>
          <w:rFonts w:hint="eastAsia" w:eastAsia="仿宋_GB2312"/>
          <w:color w:val="auto"/>
          <w:kern w:val="2"/>
          <w:sz w:val="28"/>
          <w:szCs w:val="28"/>
        </w:rPr>
        <w:t>威海市现有矿产地174处，其中大型15处，中型28处，小型131处。矿床规摸以小型为主，大型较少。其中饰面用花岗岩、地热、金为威海市优势特色矿产。从</w:t>
      </w:r>
      <w:r>
        <w:rPr>
          <w:rFonts w:eastAsia="仿宋_GB2312"/>
          <w:color w:val="auto"/>
          <w:kern w:val="2"/>
          <w:sz w:val="28"/>
          <w:szCs w:val="28"/>
        </w:rPr>
        <w:t>矿产资源区域分布特点看</w:t>
      </w:r>
      <w:r>
        <w:rPr>
          <w:rFonts w:hint="eastAsia" w:eastAsia="仿宋_GB2312"/>
          <w:color w:val="auto"/>
          <w:kern w:val="2"/>
          <w:sz w:val="28"/>
          <w:szCs w:val="28"/>
        </w:rPr>
        <w:t>，</w:t>
      </w:r>
      <w:r>
        <w:rPr>
          <w:rFonts w:eastAsia="仿宋_GB2312"/>
          <w:color w:val="auto"/>
          <w:kern w:val="2"/>
          <w:sz w:val="28"/>
          <w:szCs w:val="28"/>
        </w:rPr>
        <w:t>荣成市主要以各类品种的饰面花岗岩资源为特色</w:t>
      </w:r>
      <w:r>
        <w:rPr>
          <w:rFonts w:hint="eastAsia" w:eastAsia="仿宋_GB2312"/>
          <w:color w:val="auto"/>
          <w:kern w:val="2"/>
          <w:sz w:val="28"/>
          <w:szCs w:val="28"/>
        </w:rPr>
        <w:t>，</w:t>
      </w:r>
      <w:r>
        <w:rPr>
          <w:rFonts w:eastAsia="仿宋_GB2312"/>
          <w:color w:val="auto"/>
          <w:kern w:val="2"/>
          <w:sz w:val="28"/>
          <w:szCs w:val="28"/>
        </w:rPr>
        <w:t>文登和环翠区主要以地热</w:t>
      </w:r>
      <w:r>
        <w:rPr>
          <w:rFonts w:hint="eastAsia" w:eastAsia="仿宋_GB2312"/>
          <w:color w:val="auto"/>
          <w:kern w:val="2"/>
          <w:sz w:val="28"/>
          <w:szCs w:val="28"/>
        </w:rPr>
        <w:t>、</w:t>
      </w:r>
      <w:r>
        <w:rPr>
          <w:rFonts w:eastAsia="仿宋_GB2312"/>
          <w:color w:val="auto"/>
          <w:kern w:val="2"/>
          <w:sz w:val="28"/>
          <w:szCs w:val="28"/>
        </w:rPr>
        <w:t>矿泉水资源为特色</w:t>
      </w:r>
      <w:r>
        <w:rPr>
          <w:rFonts w:hint="eastAsia" w:eastAsia="仿宋_GB2312"/>
          <w:color w:val="auto"/>
          <w:kern w:val="2"/>
          <w:sz w:val="28"/>
          <w:szCs w:val="28"/>
        </w:rPr>
        <w:t>，乳山市主要以金和铁矿资源为特色。</w:t>
      </w:r>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截至2020年底，全市共有探矿权36个，其中金矿32个、铁矿1个、蛇纹岩矿1个、矿泉水2个，勘查总面积185.29平方千米。查明的矿产地达到详查及以上工作程度的占45.98%。金矿勘查深度一般为200米～400米，深者可达800米～1300米；铁矿勘查深度一般在100米～200米之间。</w:t>
      </w:r>
    </w:p>
    <w:p>
      <w:pPr>
        <w:widowControl w:val="0"/>
        <w:spacing w:line="560" w:lineRule="exact"/>
        <w:ind w:firstLine="560" w:firstLineChars="200"/>
        <w:jc w:val="both"/>
        <w:rPr>
          <w:rFonts w:eastAsia="仿宋_GB2312"/>
          <w:color w:val="auto"/>
          <w:kern w:val="2"/>
          <w:sz w:val="28"/>
          <w:szCs w:val="28"/>
        </w:rPr>
      </w:pPr>
      <w:r>
        <w:rPr>
          <w:rFonts w:eastAsia="仿宋_GB2312"/>
          <w:color w:val="auto"/>
          <w:kern w:val="2"/>
          <w:sz w:val="28"/>
          <w:szCs w:val="28"/>
        </w:rPr>
        <w:t>截至2020年底，全市共有</w:t>
      </w:r>
      <w:r>
        <w:rPr>
          <w:rFonts w:hint="eastAsia" w:eastAsia="仿宋_GB2312"/>
          <w:color w:val="auto"/>
          <w:kern w:val="2"/>
          <w:sz w:val="28"/>
          <w:szCs w:val="28"/>
        </w:rPr>
        <w:t>矿山55个，按照矿种统计：饰面用花岗岩19个，地热15个、金矿10个，铁矿3个，银矿2个、矿泉水4个、</w:t>
      </w:r>
      <w:r>
        <w:rPr>
          <w:rFonts w:hint="eastAsia" w:eastAsia="仿宋_GB2312"/>
          <w:color w:val="auto"/>
          <w:kern w:val="2"/>
          <w:sz w:val="28"/>
          <w:szCs w:val="28"/>
        </w:rPr>
        <w:t>建筑用花岗岩2个</w:t>
      </w:r>
      <w:r>
        <w:rPr>
          <w:rFonts w:hint="eastAsia" w:eastAsia="仿宋_GB2312"/>
          <w:color w:val="auto"/>
          <w:kern w:val="2"/>
          <w:sz w:val="28"/>
          <w:szCs w:val="28"/>
        </w:rPr>
        <w:t>；按照规模统计：大型3个，中型8个，小型44个。年开采矿石总量243.48万吨，其中金矿石量37.60万吨，饰面用石材205.88万吨，地热61.92万立方米，矿泉水10.6万立方米。</w:t>
      </w:r>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2</w:t>
      </w:r>
      <w:r>
        <w:rPr>
          <w:rFonts w:eastAsia="仿宋_GB2312"/>
          <w:color w:val="auto"/>
          <w:kern w:val="2"/>
          <w:sz w:val="28"/>
          <w:szCs w:val="28"/>
        </w:rPr>
        <w:t>018</w:t>
      </w:r>
      <w:r>
        <w:rPr>
          <w:rFonts w:hint="eastAsia" w:eastAsia="仿宋_GB2312"/>
          <w:color w:val="auto"/>
          <w:kern w:val="2"/>
          <w:sz w:val="28"/>
          <w:szCs w:val="28"/>
        </w:rPr>
        <w:t>—2</w:t>
      </w:r>
      <w:r>
        <w:rPr>
          <w:rFonts w:eastAsia="仿宋_GB2312"/>
          <w:color w:val="auto"/>
          <w:kern w:val="2"/>
          <w:sz w:val="28"/>
          <w:szCs w:val="28"/>
        </w:rPr>
        <w:t>020</w:t>
      </w:r>
      <w:r>
        <w:rPr>
          <w:rFonts w:hint="eastAsia" w:eastAsia="仿宋_GB2312"/>
          <w:color w:val="auto"/>
          <w:kern w:val="2"/>
          <w:sz w:val="28"/>
          <w:szCs w:val="28"/>
        </w:rPr>
        <w:t>年，全市完成“三区两线”可视范围内的废弃矿山治理36处，矿山地质环境恢复治理面积128.5公顷，矿山地质环境治理率100%；“2013年以来关停露天开采矿山”100处，已治理86处，矿山地质环境恢复治理面积144.02公顷，矿山地质环境治理率88.68%。</w:t>
      </w:r>
    </w:p>
    <w:p>
      <w:pPr>
        <w:pStyle w:val="3"/>
        <w:widowControl w:val="0"/>
        <w:spacing w:beforeLines="50" w:afterLines="50" w:line="560" w:lineRule="exact"/>
        <w:ind w:firstLine="643" w:firstLineChars="200"/>
        <w:jc w:val="both"/>
        <w:rPr>
          <w:rFonts w:ascii="Times New Roman" w:hAnsi="Times New Roman" w:eastAsia="楷体" w:cs="楷体"/>
          <w:color w:val="auto"/>
          <w:kern w:val="2"/>
        </w:rPr>
      </w:pPr>
      <w:bookmarkStart w:id="7" w:name="_Toc79415211"/>
      <w:r>
        <w:rPr>
          <w:rFonts w:hint="eastAsia" w:ascii="Times New Roman" w:hAnsi="Times New Roman" w:eastAsia="楷体" w:cs="楷体"/>
          <w:color w:val="auto"/>
          <w:kern w:val="2"/>
        </w:rPr>
        <w:t>（三）矿业经济发展现状</w:t>
      </w:r>
      <w:bookmarkEnd w:id="7"/>
    </w:p>
    <w:tbl>
      <w:tblPr>
        <w:tblStyle w:val="25"/>
        <w:tblpPr w:leftFromText="180" w:rightFromText="180" w:vertAnchor="page" w:horzAnchor="margin" w:tblpY="591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5B3D7" w:themeFill="accent1" w:themeFillTint="99"/>
        <w:tblLayout w:type="fixed"/>
        <w:tblCellMar>
          <w:top w:w="0" w:type="dxa"/>
          <w:left w:w="108" w:type="dxa"/>
          <w:bottom w:w="0" w:type="dxa"/>
          <w:right w:w="108" w:type="dxa"/>
        </w:tblCellMar>
      </w:tblPr>
      <w:tblGrid>
        <w:gridCol w:w="870"/>
        <w:gridCol w:w="1472"/>
        <w:gridCol w:w="1472"/>
        <w:gridCol w:w="1472"/>
        <w:gridCol w:w="1772"/>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5B3D7" w:themeFill="accent1" w:themeFillTint="99"/>
          <w:tblLayout w:type="fixed"/>
          <w:tblCellMar>
            <w:top w:w="0" w:type="dxa"/>
            <w:left w:w="108" w:type="dxa"/>
            <w:bottom w:w="0" w:type="dxa"/>
            <w:right w:w="108" w:type="dxa"/>
          </w:tblCellMar>
        </w:tblPrEx>
        <w:trPr>
          <w:trHeight w:val="555" w:hRule="atLeast"/>
        </w:trPr>
        <w:tc>
          <w:tcPr>
            <w:tcW w:w="8528" w:type="dxa"/>
            <w:gridSpan w:val="6"/>
            <w:tcBorders>
              <w:bottom w:val="single" w:color="auto" w:sz="4" w:space="0"/>
            </w:tcBorders>
            <w:shd w:val="clear" w:color="auto" w:fill="95B3D7" w:themeFill="accent1" w:themeFillTint="99"/>
            <w:vAlign w:val="center"/>
          </w:tcPr>
          <w:p>
            <w:pPr>
              <w:jc w:val="center"/>
              <w:rPr>
                <w:b/>
                <w:bCs/>
                <w:color w:val="auto"/>
              </w:rPr>
            </w:pPr>
            <w:r>
              <w:rPr>
                <w:rFonts w:hint="eastAsia" w:cs="宋体"/>
                <w:b/>
                <w:bCs/>
                <w:color w:val="auto"/>
              </w:rPr>
              <w:t>专栏一“十三五”期间威海市矿产资源开发利用基本情况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trPr>
        <w:tc>
          <w:tcPr>
            <w:tcW w:w="870" w:type="dxa"/>
            <w:shd w:val="clear" w:color="auto" w:fill="DBE5F1" w:themeFill="accent1" w:themeFillTint="33"/>
            <w:vAlign w:val="center"/>
          </w:tcPr>
          <w:p>
            <w:pPr>
              <w:jc w:val="center"/>
              <w:rPr>
                <w:rFonts w:eastAsia="仿宋_GB2312"/>
                <w:b/>
                <w:bCs/>
                <w:color w:val="auto"/>
              </w:rPr>
            </w:pPr>
            <w:r>
              <w:rPr>
                <w:rFonts w:hint="eastAsia" w:eastAsia="仿宋_GB2312" w:cs="仿宋_GB2312"/>
                <w:b/>
                <w:bCs/>
                <w:color w:val="auto"/>
              </w:rPr>
              <w:t>年度</w:t>
            </w:r>
          </w:p>
        </w:tc>
        <w:tc>
          <w:tcPr>
            <w:tcW w:w="1472" w:type="dxa"/>
            <w:shd w:val="clear" w:color="auto" w:fill="DBE5F1" w:themeFill="accent1" w:themeFillTint="33"/>
            <w:vAlign w:val="center"/>
          </w:tcPr>
          <w:p>
            <w:pPr>
              <w:jc w:val="center"/>
              <w:rPr>
                <w:rFonts w:eastAsia="仿宋_GB2312"/>
                <w:b/>
                <w:bCs/>
                <w:color w:val="auto"/>
              </w:rPr>
            </w:pPr>
            <w:r>
              <w:rPr>
                <w:rFonts w:hint="eastAsia" w:eastAsia="仿宋_GB2312" w:cs="仿宋_GB2312"/>
                <w:b/>
                <w:bCs/>
                <w:color w:val="auto"/>
              </w:rPr>
              <w:t>矿山数量</w:t>
            </w:r>
          </w:p>
          <w:p>
            <w:pPr>
              <w:jc w:val="center"/>
              <w:rPr>
                <w:rFonts w:eastAsia="仿宋_GB2312"/>
                <w:b/>
                <w:bCs/>
                <w:color w:val="auto"/>
              </w:rPr>
            </w:pPr>
            <w:r>
              <w:rPr>
                <w:rFonts w:hint="eastAsia" w:eastAsia="仿宋_GB2312" w:cs="仿宋_GB2312"/>
                <w:b/>
                <w:bCs/>
                <w:color w:val="auto"/>
              </w:rPr>
              <w:t>（个）</w:t>
            </w:r>
          </w:p>
        </w:tc>
        <w:tc>
          <w:tcPr>
            <w:tcW w:w="1472" w:type="dxa"/>
            <w:shd w:val="clear" w:color="auto" w:fill="DBE5F1" w:themeFill="accent1" w:themeFillTint="33"/>
            <w:vAlign w:val="center"/>
          </w:tcPr>
          <w:p>
            <w:pPr>
              <w:jc w:val="center"/>
              <w:rPr>
                <w:rFonts w:eastAsia="仿宋_GB2312"/>
                <w:b/>
                <w:bCs/>
                <w:color w:val="auto"/>
              </w:rPr>
            </w:pPr>
            <w:r>
              <w:rPr>
                <w:rFonts w:hint="eastAsia" w:eastAsia="仿宋_GB2312" w:cs="仿宋_GB2312"/>
                <w:b/>
                <w:bCs/>
                <w:color w:val="auto"/>
              </w:rPr>
              <w:t>从业人数</w:t>
            </w:r>
          </w:p>
          <w:p>
            <w:pPr>
              <w:jc w:val="center"/>
              <w:rPr>
                <w:rFonts w:eastAsia="仿宋_GB2312"/>
                <w:b/>
                <w:bCs/>
                <w:color w:val="auto"/>
              </w:rPr>
            </w:pPr>
            <w:r>
              <w:rPr>
                <w:rFonts w:hint="eastAsia" w:eastAsia="仿宋_GB2312" w:cs="仿宋_GB2312"/>
                <w:b/>
                <w:bCs/>
                <w:color w:val="auto"/>
              </w:rPr>
              <w:t>（人）</w:t>
            </w:r>
          </w:p>
        </w:tc>
        <w:tc>
          <w:tcPr>
            <w:tcW w:w="1472" w:type="dxa"/>
            <w:shd w:val="clear" w:color="auto" w:fill="DBE5F1" w:themeFill="accent1" w:themeFillTint="33"/>
            <w:vAlign w:val="center"/>
          </w:tcPr>
          <w:p>
            <w:pPr>
              <w:jc w:val="center"/>
              <w:rPr>
                <w:rFonts w:eastAsia="仿宋_GB2312"/>
                <w:b/>
                <w:bCs/>
                <w:color w:val="auto"/>
              </w:rPr>
            </w:pPr>
            <w:r>
              <w:rPr>
                <w:rFonts w:hint="eastAsia" w:eastAsia="仿宋_GB2312" w:cs="仿宋_GB2312"/>
                <w:b/>
                <w:bCs/>
                <w:color w:val="auto"/>
              </w:rPr>
              <w:t>矿石产量</w:t>
            </w:r>
          </w:p>
          <w:p>
            <w:pPr>
              <w:jc w:val="center"/>
              <w:rPr>
                <w:rFonts w:eastAsia="仿宋_GB2312"/>
                <w:b/>
                <w:bCs/>
                <w:color w:val="auto"/>
              </w:rPr>
            </w:pPr>
            <w:r>
              <w:rPr>
                <w:rFonts w:hint="eastAsia" w:eastAsia="仿宋_GB2312" w:cs="仿宋_GB2312"/>
                <w:b/>
                <w:bCs/>
                <w:color w:val="auto"/>
              </w:rPr>
              <w:t>（万吨）</w:t>
            </w:r>
          </w:p>
        </w:tc>
        <w:tc>
          <w:tcPr>
            <w:tcW w:w="1772" w:type="dxa"/>
            <w:shd w:val="clear" w:color="auto" w:fill="DBE5F1" w:themeFill="accent1" w:themeFillTint="33"/>
            <w:vAlign w:val="center"/>
          </w:tcPr>
          <w:p>
            <w:pPr>
              <w:jc w:val="center"/>
              <w:rPr>
                <w:rFonts w:eastAsia="仿宋_GB2312"/>
                <w:b/>
                <w:bCs/>
                <w:color w:val="auto"/>
              </w:rPr>
            </w:pPr>
            <w:r>
              <w:rPr>
                <w:rFonts w:hint="eastAsia" w:eastAsia="仿宋_GB2312" w:cs="仿宋_GB2312"/>
                <w:b/>
                <w:bCs/>
                <w:color w:val="auto"/>
              </w:rPr>
              <w:t>工业总产值</w:t>
            </w:r>
          </w:p>
          <w:p>
            <w:pPr>
              <w:jc w:val="center"/>
              <w:rPr>
                <w:rFonts w:eastAsia="仿宋_GB2312"/>
                <w:b/>
                <w:bCs/>
                <w:color w:val="auto"/>
              </w:rPr>
            </w:pPr>
            <w:r>
              <w:rPr>
                <w:rFonts w:hint="eastAsia" w:eastAsia="仿宋_GB2312" w:cs="仿宋_GB2312"/>
                <w:b/>
                <w:bCs/>
                <w:color w:val="auto"/>
              </w:rPr>
              <w:t>（亿元）</w:t>
            </w:r>
          </w:p>
        </w:tc>
        <w:tc>
          <w:tcPr>
            <w:tcW w:w="1470" w:type="dxa"/>
            <w:shd w:val="clear" w:color="auto" w:fill="DBE5F1" w:themeFill="accent1" w:themeFillTint="33"/>
            <w:vAlign w:val="center"/>
          </w:tcPr>
          <w:p>
            <w:pPr>
              <w:jc w:val="center"/>
              <w:rPr>
                <w:rFonts w:eastAsia="仿宋_GB2312"/>
                <w:b/>
                <w:bCs/>
                <w:color w:val="auto"/>
              </w:rPr>
            </w:pPr>
            <w:r>
              <w:rPr>
                <w:rFonts w:hint="eastAsia" w:eastAsia="仿宋_GB2312" w:cs="仿宋_GB2312"/>
                <w:b/>
                <w:bCs/>
                <w:color w:val="auto"/>
              </w:rPr>
              <w:t>利润总额</w:t>
            </w:r>
          </w:p>
          <w:p>
            <w:pPr>
              <w:jc w:val="center"/>
              <w:rPr>
                <w:rFonts w:eastAsia="仿宋_GB2312"/>
                <w:b/>
                <w:bCs/>
                <w:color w:val="auto"/>
              </w:rPr>
            </w:pPr>
            <w:r>
              <w:rPr>
                <w:rFonts w:hint="eastAsia" w:eastAsia="仿宋_GB2312" w:cs="仿宋_GB2312"/>
                <w:b/>
                <w:bCs/>
                <w:color w:val="auto"/>
              </w:rPr>
              <w:t>（亿元）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70" w:type="dxa"/>
            <w:shd w:val="clear" w:color="auto" w:fill="DBE5F1" w:themeFill="accent1" w:themeFillTint="33"/>
            <w:vAlign w:val="center"/>
          </w:tcPr>
          <w:p>
            <w:pPr>
              <w:jc w:val="center"/>
              <w:rPr>
                <w:rFonts w:eastAsia="仿宋_GB2312" w:cs="仿宋_GB2312"/>
                <w:color w:val="auto"/>
              </w:rPr>
            </w:pPr>
            <w:r>
              <w:rPr>
                <w:rFonts w:eastAsia="仿宋_GB2312" w:cs="仿宋_GB2312"/>
                <w:color w:val="auto"/>
              </w:rPr>
              <w:t>2016</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122</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4472</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1130.06</w:t>
            </w:r>
          </w:p>
        </w:tc>
        <w:tc>
          <w:tcPr>
            <w:tcW w:w="17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10.64</w:t>
            </w:r>
          </w:p>
        </w:tc>
        <w:tc>
          <w:tcPr>
            <w:tcW w:w="1470" w:type="dxa"/>
            <w:shd w:val="clear" w:color="auto" w:fill="DBE5F1" w:themeFill="accent1" w:themeFillTint="33"/>
            <w:vAlign w:val="center"/>
          </w:tcPr>
          <w:p>
            <w:pPr>
              <w:jc w:val="center"/>
              <w:rPr>
                <w:rFonts w:eastAsia="仿宋_GB2312"/>
                <w:color w:val="auto"/>
              </w:rPr>
            </w:pPr>
            <w:r>
              <w:rPr>
                <w:rFonts w:hint="eastAsia" w:eastAsia="仿宋_GB2312"/>
                <w:color w:val="auto"/>
              </w:rPr>
              <w:t>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70" w:type="dxa"/>
            <w:shd w:val="clear" w:color="auto" w:fill="DBE5F1" w:themeFill="accent1" w:themeFillTint="33"/>
            <w:vAlign w:val="center"/>
          </w:tcPr>
          <w:p>
            <w:pPr>
              <w:jc w:val="center"/>
              <w:rPr>
                <w:rFonts w:eastAsia="仿宋_GB2312" w:cs="仿宋_GB2312"/>
                <w:color w:val="auto"/>
              </w:rPr>
            </w:pPr>
            <w:r>
              <w:rPr>
                <w:rFonts w:eastAsia="仿宋_GB2312" w:cs="仿宋_GB2312"/>
                <w:color w:val="auto"/>
              </w:rPr>
              <w:t>2017</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103</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3854</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609.84</w:t>
            </w:r>
          </w:p>
        </w:tc>
        <w:tc>
          <w:tcPr>
            <w:tcW w:w="17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5.22</w:t>
            </w:r>
          </w:p>
        </w:tc>
        <w:tc>
          <w:tcPr>
            <w:tcW w:w="1470" w:type="dxa"/>
            <w:shd w:val="clear" w:color="auto" w:fill="DBE5F1" w:themeFill="accent1" w:themeFillTint="33"/>
            <w:vAlign w:val="center"/>
          </w:tcPr>
          <w:p>
            <w:pPr>
              <w:jc w:val="center"/>
              <w:rPr>
                <w:rFonts w:eastAsia="仿宋_GB2312"/>
                <w:color w:val="auto"/>
              </w:rPr>
            </w:pPr>
            <w:r>
              <w:rPr>
                <w:rFonts w:hint="eastAsia" w:eastAsia="仿宋_GB2312"/>
                <w:color w:val="auto"/>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70" w:type="dxa"/>
            <w:shd w:val="clear" w:color="auto" w:fill="DBE5F1" w:themeFill="accent1" w:themeFillTint="33"/>
            <w:vAlign w:val="center"/>
          </w:tcPr>
          <w:p>
            <w:pPr>
              <w:jc w:val="center"/>
              <w:rPr>
                <w:rFonts w:eastAsia="仿宋_GB2312" w:cs="仿宋_GB2312"/>
                <w:color w:val="auto"/>
              </w:rPr>
            </w:pPr>
            <w:r>
              <w:rPr>
                <w:rFonts w:eastAsia="仿宋_GB2312" w:cs="仿宋_GB2312"/>
                <w:color w:val="auto"/>
              </w:rPr>
              <w:t>2018</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66</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3210</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368.84</w:t>
            </w:r>
          </w:p>
        </w:tc>
        <w:tc>
          <w:tcPr>
            <w:tcW w:w="17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5.09</w:t>
            </w:r>
          </w:p>
        </w:tc>
        <w:tc>
          <w:tcPr>
            <w:tcW w:w="1470" w:type="dxa"/>
            <w:shd w:val="clear" w:color="auto" w:fill="DBE5F1" w:themeFill="accent1" w:themeFillTint="33"/>
            <w:vAlign w:val="center"/>
          </w:tcPr>
          <w:p>
            <w:pPr>
              <w:jc w:val="center"/>
              <w:rPr>
                <w:rFonts w:eastAsia="仿宋_GB2312"/>
                <w:color w:val="auto"/>
              </w:rPr>
            </w:pPr>
            <w:r>
              <w:rPr>
                <w:rFonts w:hint="eastAsia" w:eastAsia="仿宋_GB2312"/>
                <w:color w:val="auto"/>
              </w:rPr>
              <w:t>0.99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70" w:type="dxa"/>
            <w:shd w:val="clear" w:color="auto" w:fill="DBE5F1" w:themeFill="accent1" w:themeFillTint="33"/>
            <w:vAlign w:val="center"/>
          </w:tcPr>
          <w:p>
            <w:pPr>
              <w:jc w:val="center"/>
              <w:rPr>
                <w:rFonts w:eastAsia="仿宋_GB2312" w:cs="仿宋_GB2312"/>
                <w:color w:val="auto"/>
              </w:rPr>
            </w:pPr>
            <w:r>
              <w:rPr>
                <w:rFonts w:eastAsia="仿宋_GB2312" w:cs="仿宋_GB2312"/>
                <w:color w:val="auto"/>
              </w:rPr>
              <w:t>2019</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55</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3249</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188.43</w:t>
            </w:r>
          </w:p>
        </w:tc>
        <w:tc>
          <w:tcPr>
            <w:tcW w:w="17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4.27</w:t>
            </w:r>
          </w:p>
        </w:tc>
        <w:tc>
          <w:tcPr>
            <w:tcW w:w="1470" w:type="dxa"/>
            <w:shd w:val="clear" w:color="auto" w:fill="DBE5F1" w:themeFill="accent1" w:themeFillTint="33"/>
            <w:vAlign w:val="center"/>
          </w:tcPr>
          <w:p>
            <w:pPr>
              <w:jc w:val="center"/>
              <w:rPr>
                <w:rFonts w:eastAsia="仿宋_GB2312"/>
                <w:color w:val="auto"/>
              </w:rPr>
            </w:pPr>
            <w:r>
              <w:rPr>
                <w:rFonts w:hint="eastAsia" w:eastAsia="仿宋_GB2312"/>
                <w:color w:val="auto"/>
              </w:rPr>
              <w:t>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70" w:type="dxa"/>
            <w:shd w:val="clear" w:color="auto" w:fill="DBE5F1" w:themeFill="accent1" w:themeFillTint="33"/>
            <w:vAlign w:val="center"/>
          </w:tcPr>
          <w:p>
            <w:pPr>
              <w:jc w:val="center"/>
              <w:rPr>
                <w:rFonts w:eastAsia="仿宋_GB2312" w:cs="仿宋_GB2312"/>
                <w:color w:val="auto"/>
              </w:rPr>
            </w:pPr>
            <w:r>
              <w:rPr>
                <w:rFonts w:eastAsia="仿宋_GB2312" w:cs="仿宋_GB2312"/>
                <w:color w:val="auto"/>
              </w:rPr>
              <w:t>2020</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55</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4800</w:t>
            </w:r>
          </w:p>
        </w:tc>
        <w:tc>
          <w:tcPr>
            <w:tcW w:w="14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316.00</w:t>
            </w:r>
          </w:p>
        </w:tc>
        <w:tc>
          <w:tcPr>
            <w:tcW w:w="1772" w:type="dxa"/>
            <w:shd w:val="clear" w:color="auto" w:fill="DBE5F1" w:themeFill="accent1" w:themeFillTint="33"/>
            <w:vAlign w:val="center"/>
          </w:tcPr>
          <w:p>
            <w:pPr>
              <w:jc w:val="center"/>
              <w:rPr>
                <w:rFonts w:eastAsia="仿宋_GB2312" w:cs="仿宋_GB2312"/>
                <w:color w:val="auto"/>
              </w:rPr>
            </w:pPr>
            <w:r>
              <w:rPr>
                <w:rFonts w:hint="eastAsia" w:eastAsia="仿宋_GB2312" w:cs="仿宋_GB2312"/>
                <w:color w:val="auto"/>
              </w:rPr>
              <w:t>14.76</w:t>
            </w:r>
          </w:p>
        </w:tc>
        <w:tc>
          <w:tcPr>
            <w:tcW w:w="1470" w:type="dxa"/>
            <w:shd w:val="clear" w:color="auto" w:fill="DBE5F1" w:themeFill="accent1" w:themeFillTint="33"/>
            <w:vAlign w:val="center"/>
          </w:tcPr>
          <w:p>
            <w:pPr>
              <w:jc w:val="center"/>
              <w:rPr>
                <w:rFonts w:eastAsia="仿宋_GB2312"/>
                <w:color w:val="auto"/>
              </w:rPr>
            </w:pPr>
          </w:p>
        </w:tc>
      </w:tr>
    </w:tbl>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2</w:t>
      </w:r>
      <w:r>
        <w:rPr>
          <w:rFonts w:eastAsia="仿宋_GB2312"/>
          <w:color w:val="auto"/>
          <w:kern w:val="2"/>
          <w:sz w:val="28"/>
          <w:szCs w:val="28"/>
        </w:rPr>
        <w:t>020</w:t>
      </w:r>
      <w:r>
        <w:rPr>
          <w:rFonts w:hint="eastAsia" w:eastAsia="仿宋_GB2312"/>
          <w:color w:val="auto"/>
          <w:kern w:val="2"/>
          <w:sz w:val="28"/>
          <w:szCs w:val="28"/>
        </w:rPr>
        <w:t>年全市矿产资源开发利用工业总产值14.76亿元。其中金矿产9.63亿元、地热矿产1.20亿元、建材矿产3.64亿元、矿泉水0.29亿元</w:t>
      </w:r>
      <w:r>
        <w:rPr>
          <w:rFonts w:eastAsia="仿宋_GB2312"/>
          <w:color w:val="auto"/>
          <w:kern w:val="2"/>
          <w:sz w:val="28"/>
          <w:szCs w:val="28"/>
        </w:rPr>
        <w:t>。</w:t>
      </w:r>
      <w:r>
        <w:rPr>
          <w:rFonts w:hint="eastAsia" w:eastAsia="仿宋_GB2312"/>
          <w:color w:val="auto"/>
          <w:kern w:val="2"/>
          <w:sz w:val="28"/>
          <w:szCs w:val="28"/>
        </w:rPr>
        <w:t>见专栏一。</w:t>
      </w:r>
    </w:p>
    <w:bookmarkEnd w:id="3"/>
    <w:bookmarkEnd w:id="4"/>
    <w:bookmarkEnd w:id="5"/>
    <w:p>
      <w:pPr>
        <w:pStyle w:val="3"/>
        <w:widowControl w:val="0"/>
        <w:spacing w:beforeLines="50" w:afterLines="50" w:line="560" w:lineRule="exact"/>
        <w:ind w:firstLine="643" w:firstLineChars="200"/>
        <w:jc w:val="both"/>
        <w:rPr>
          <w:rFonts w:ascii="Times New Roman" w:hAnsi="Times New Roman" w:eastAsia="楷体" w:cs="楷体"/>
          <w:color w:val="auto"/>
          <w:kern w:val="2"/>
        </w:rPr>
      </w:pPr>
      <w:bookmarkStart w:id="8" w:name="_Toc470708477"/>
      <w:bookmarkStart w:id="9" w:name="_Toc65229330"/>
      <w:bookmarkStart w:id="10" w:name="_Toc79415212"/>
      <w:r>
        <w:rPr>
          <w:rFonts w:ascii="Times New Roman" w:hAnsi="Times New Roman" w:eastAsia="楷体" w:cs="楷体"/>
          <w:color w:val="auto"/>
          <w:kern w:val="2"/>
        </w:rPr>
        <w:t>（</w:t>
      </w:r>
      <w:r>
        <w:rPr>
          <w:rFonts w:hint="eastAsia" w:ascii="Times New Roman" w:hAnsi="Times New Roman" w:eastAsia="楷体" w:cs="楷体"/>
          <w:color w:val="auto"/>
          <w:kern w:val="2"/>
        </w:rPr>
        <w:t>四</w:t>
      </w:r>
      <w:r>
        <w:rPr>
          <w:rFonts w:ascii="Times New Roman" w:hAnsi="Times New Roman" w:eastAsia="楷体" w:cs="楷体"/>
          <w:color w:val="auto"/>
          <w:kern w:val="2"/>
        </w:rPr>
        <w:t>）</w:t>
      </w:r>
      <w:r>
        <w:rPr>
          <w:rFonts w:hint="eastAsia" w:ascii="Times New Roman" w:hAnsi="Times New Roman" w:eastAsia="楷体" w:cs="楷体"/>
          <w:color w:val="auto"/>
          <w:kern w:val="2"/>
        </w:rPr>
        <w:t>第三轮矿产资源</w:t>
      </w:r>
      <w:r>
        <w:rPr>
          <w:rFonts w:ascii="Times New Roman" w:hAnsi="Times New Roman" w:eastAsia="楷体" w:cs="楷体"/>
          <w:color w:val="auto"/>
          <w:kern w:val="2"/>
        </w:rPr>
        <w:t>规划实施</w:t>
      </w:r>
      <w:r>
        <w:rPr>
          <w:rFonts w:hint="eastAsia" w:ascii="Times New Roman" w:hAnsi="Times New Roman" w:eastAsia="楷体" w:cs="楷体"/>
          <w:color w:val="auto"/>
          <w:kern w:val="2"/>
        </w:rPr>
        <w:t>取得</w:t>
      </w:r>
      <w:r>
        <w:rPr>
          <w:rFonts w:ascii="Times New Roman" w:hAnsi="Times New Roman" w:eastAsia="楷体" w:cs="楷体"/>
          <w:color w:val="auto"/>
          <w:kern w:val="2"/>
        </w:rPr>
        <w:t>成效</w:t>
      </w:r>
      <w:bookmarkEnd w:id="8"/>
      <w:bookmarkEnd w:id="9"/>
      <w:bookmarkEnd w:id="10"/>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《威海市矿产资源总体规划（2016～2020）》</w:t>
      </w:r>
      <w:r>
        <w:rPr>
          <w:rFonts w:eastAsia="仿宋_GB2312"/>
          <w:color w:val="auto"/>
          <w:kern w:val="2"/>
          <w:sz w:val="28"/>
          <w:szCs w:val="28"/>
        </w:rPr>
        <w:t>实施以来，矿业经济稳步</w:t>
      </w:r>
      <w:r>
        <w:rPr>
          <w:rFonts w:hint="eastAsia" w:eastAsia="仿宋_GB2312"/>
          <w:color w:val="auto"/>
          <w:kern w:val="2"/>
          <w:sz w:val="28"/>
          <w:szCs w:val="28"/>
        </w:rPr>
        <w:t>增长，为</w:t>
      </w:r>
      <w:r>
        <w:rPr>
          <w:rFonts w:eastAsia="仿宋_GB2312"/>
          <w:color w:val="auto"/>
          <w:kern w:val="2"/>
          <w:sz w:val="28"/>
          <w:szCs w:val="28"/>
        </w:rPr>
        <w:t>社会经济</w:t>
      </w:r>
      <w:r>
        <w:rPr>
          <w:rFonts w:hint="eastAsia" w:eastAsia="仿宋_GB2312"/>
          <w:color w:val="auto"/>
          <w:kern w:val="2"/>
          <w:sz w:val="28"/>
          <w:szCs w:val="28"/>
        </w:rPr>
        <w:t>发展</w:t>
      </w:r>
      <w:r>
        <w:rPr>
          <w:rFonts w:eastAsia="仿宋_GB2312"/>
          <w:color w:val="auto"/>
          <w:kern w:val="2"/>
          <w:sz w:val="28"/>
          <w:szCs w:val="28"/>
        </w:rPr>
        <w:t>发挥了重要作用</w:t>
      </w:r>
      <w:r>
        <w:rPr>
          <w:rFonts w:hint="eastAsia" w:eastAsia="仿宋_GB2312"/>
          <w:color w:val="auto"/>
          <w:kern w:val="2"/>
          <w:sz w:val="28"/>
          <w:szCs w:val="28"/>
        </w:rPr>
        <w:t>。规划确定的各项目标任务基本完成。</w:t>
      </w:r>
    </w:p>
    <w:p>
      <w:pPr>
        <w:widowControl w:val="0"/>
        <w:spacing w:line="560" w:lineRule="exact"/>
        <w:ind w:firstLine="560" w:firstLineChars="200"/>
        <w:jc w:val="both"/>
        <w:rPr>
          <w:rFonts w:eastAsia="仿宋_GB2312"/>
          <w:color w:val="auto"/>
          <w:kern w:val="2"/>
          <w:sz w:val="28"/>
          <w:szCs w:val="28"/>
        </w:rPr>
      </w:pPr>
      <w:r>
        <w:rPr>
          <w:rFonts w:hint="eastAsia" w:ascii="楷体_GB2312" w:eastAsia="楷体_GB2312"/>
          <w:color w:val="auto"/>
          <w:kern w:val="2"/>
          <w:sz w:val="28"/>
          <w:szCs w:val="28"/>
        </w:rPr>
        <w:t>（1）基础性公益性地质工作稳步推进。</w:t>
      </w:r>
      <w:r>
        <w:rPr>
          <w:rFonts w:hint="eastAsia" w:eastAsia="仿宋_GB2312"/>
          <w:color w:val="auto"/>
          <w:kern w:val="2"/>
          <w:sz w:val="28"/>
          <w:szCs w:val="28"/>
        </w:rPr>
        <w:t>开展了海岸带综合地质调查、城镇化扩展区城市综合地质调查，为城市建设提供支撑。摸清了环翠区地热资源分布家底，实现地热资源的集中管理，达到政府收益最大化。</w:t>
      </w:r>
    </w:p>
    <w:p>
      <w:pPr>
        <w:widowControl w:val="0"/>
        <w:spacing w:line="560" w:lineRule="exact"/>
        <w:ind w:firstLine="560" w:firstLineChars="200"/>
        <w:jc w:val="both"/>
        <w:rPr>
          <w:rFonts w:eastAsia="仿宋_GB2312"/>
          <w:color w:val="auto"/>
          <w:kern w:val="2"/>
          <w:sz w:val="28"/>
          <w:szCs w:val="28"/>
        </w:rPr>
      </w:pPr>
      <w:r>
        <w:rPr>
          <w:rFonts w:hint="eastAsia" w:ascii="楷体_GB2312" w:eastAsia="楷体_GB2312"/>
          <w:color w:val="auto"/>
          <w:kern w:val="2"/>
          <w:sz w:val="28"/>
          <w:szCs w:val="28"/>
        </w:rPr>
        <w:t>（2）</w:t>
      </w:r>
      <w:r>
        <w:rPr>
          <w:rFonts w:ascii="楷体_GB2312" w:eastAsia="楷体_GB2312"/>
          <w:color w:val="auto"/>
          <w:kern w:val="2"/>
          <w:sz w:val="28"/>
          <w:szCs w:val="28"/>
        </w:rPr>
        <w:t>地质勘查找矿</w:t>
      </w:r>
      <w:r>
        <w:rPr>
          <w:rFonts w:hint="eastAsia" w:ascii="楷体_GB2312" w:eastAsia="楷体_GB2312"/>
          <w:color w:val="auto"/>
          <w:kern w:val="2"/>
          <w:sz w:val="28"/>
          <w:szCs w:val="28"/>
        </w:rPr>
        <w:t>成果丰硕。</w:t>
      </w:r>
      <w:r>
        <w:rPr>
          <w:rFonts w:hint="eastAsia" w:eastAsia="仿宋_GB2312"/>
          <w:color w:val="auto"/>
          <w:kern w:val="2"/>
          <w:sz w:val="28"/>
          <w:szCs w:val="28"/>
        </w:rPr>
        <w:t>新增金矿大型矿产地1处，新增金资源量金属量27861千克（含伴生金），新增蛇纹岩资源量矿石量6886千吨，进一步厘定了</w:t>
      </w:r>
      <w:r>
        <w:rPr>
          <w:rFonts w:eastAsia="仿宋_GB2312"/>
          <w:color w:val="auto"/>
          <w:kern w:val="2"/>
          <w:sz w:val="28"/>
          <w:szCs w:val="28"/>
        </w:rPr>
        <w:t>饰面用花岗岩</w:t>
      </w:r>
      <w:r>
        <w:rPr>
          <w:rFonts w:hint="eastAsia" w:eastAsia="仿宋_GB2312"/>
          <w:color w:val="auto"/>
          <w:kern w:val="2"/>
          <w:sz w:val="28"/>
          <w:szCs w:val="28"/>
        </w:rPr>
        <w:t>矿的分布和</w:t>
      </w:r>
      <w:r>
        <w:rPr>
          <w:rFonts w:eastAsia="仿宋_GB2312"/>
          <w:color w:val="auto"/>
          <w:kern w:val="2"/>
          <w:sz w:val="28"/>
          <w:szCs w:val="28"/>
        </w:rPr>
        <w:t>花色品种的分区</w:t>
      </w:r>
      <w:r>
        <w:rPr>
          <w:rFonts w:hint="eastAsia" w:eastAsia="仿宋_GB2312"/>
          <w:color w:val="auto"/>
          <w:kern w:val="2"/>
          <w:sz w:val="28"/>
          <w:szCs w:val="28"/>
        </w:rPr>
        <w:t>，有效提高了全市重要矿产资源保障能力。</w:t>
      </w:r>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3）开发利用保护格局不断优化。“十三五”期间，结合我市成矿地质条件、资源分布特点，科学划定勘查、开发和保护分区；对全市开发矿种实行矿产资源开采总量调控，持续整顿规范矿产资源开发秩序，建立重要矿产最低开采规模准入制度；全市矿山数量由2015年的136个压减至2020年的55个，通过自然保护地和生态红线的优化整合以及矿业权范围的调整，基本解决了生态环境保护与矿业开发的矛盾，矿产资源勘查开发保护格局、矿业秩序不断优化。</w:t>
      </w:r>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4）开发利用保护水平持续提升。重要矿产金平均开采回采率、平均选矿回收率比2015年分别提高5.91%、5.36%；地热、矿泉水及饰面石材开采回采率比2015年分别提高1.02%、0.50%、2.12%。废石、尾矿等废弃物按照“减量化、再利用、资源化”进行了综合利用。</w:t>
      </w:r>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5）矿业绿色发展格局逐步建立。截至2020年底，8个矿山入选绿色矿山名录（国家绿色矿山1个、省级绿色矿山7个），占全市持证矿山总数的14.55%。完成“三区两线”可视范围内的废弃矿山和“2013年以来关停露天开采矿山”治理122处，矿山地质环境恢复治理面积272.52公顷。</w:t>
      </w:r>
    </w:p>
    <w:p>
      <w:pPr>
        <w:pStyle w:val="3"/>
        <w:widowControl w:val="0"/>
        <w:spacing w:beforeLines="50" w:afterLines="50" w:line="560" w:lineRule="exact"/>
        <w:ind w:firstLine="643" w:firstLineChars="200"/>
        <w:jc w:val="both"/>
        <w:rPr>
          <w:rFonts w:ascii="Times New Roman" w:hAnsi="Times New Roman" w:eastAsia="楷体" w:cs="楷体"/>
          <w:color w:val="auto"/>
          <w:kern w:val="2"/>
        </w:rPr>
      </w:pPr>
      <w:bookmarkStart w:id="11" w:name="_Toc470708478"/>
      <w:bookmarkStart w:id="12" w:name="_Toc79415213"/>
      <w:r>
        <w:rPr>
          <w:rFonts w:ascii="Times New Roman" w:hAnsi="Times New Roman" w:eastAsia="楷体" w:cs="楷体"/>
          <w:color w:val="auto"/>
          <w:kern w:val="2"/>
        </w:rPr>
        <w:t>（</w:t>
      </w:r>
      <w:r>
        <w:rPr>
          <w:rFonts w:hint="eastAsia" w:ascii="Times New Roman" w:hAnsi="Times New Roman" w:eastAsia="楷体" w:cs="楷体"/>
          <w:color w:val="auto"/>
          <w:kern w:val="2"/>
        </w:rPr>
        <w:t>五</w:t>
      </w:r>
      <w:r>
        <w:rPr>
          <w:rFonts w:ascii="Times New Roman" w:hAnsi="Times New Roman" w:eastAsia="楷体" w:cs="楷体"/>
          <w:color w:val="auto"/>
          <w:kern w:val="2"/>
        </w:rPr>
        <w:t>）存在问题和面临的形势</w:t>
      </w:r>
      <w:bookmarkEnd w:id="11"/>
      <w:bookmarkEnd w:id="12"/>
    </w:p>
    <w:p>
      <w:pPr>
        <w:widowControl w:val="0"/>
        <w:spacing w:line="560" w:lineRule="exact"/>
        <w:ind w:firstLine="562" w:firstLineChars="200"/>
        <w:jc w:val="both"/>
        <w:rPr>
          <w:rFonts w:eastAsia="仿宋_GB2312"/>
          <w:b/>
          <w:bCs/>
          <w:color w:val="auto"/>
          <w:sz w:val="28"/>
          <w:szCs w:val="28"/>
        </w:rPr>
      </w:pPr>
      <w:r>
        <w:rPr>
          <w:rFonts w:hint="eastAsia" w:eastAsia="仿宋_GB2312"/>
          <w:b/>
          <w:bCs/>
          <w:color w:val="auto"/>
          <w:sz w:val="28"/>
          <w:szCs w:val="28"/>
        </w:rPr>
        <w:t>1.存在问题</w:t>
      </w:r>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主要矿产金，伴生组分综合回收利用较低；饰面用、建筑用石材丰富，但石材开采方式需要进一步优化，矿产品深加工不够，产业链短，综合利用率较低；地热资源存在历史遗留问题还没有解决，循环利用和废水利用等技术难题还没有突破；全市矿山多属卖原矿，简单加工矿产品，附加值低，要减少资源在产业中的浪费，提高资源利用率。</w:t>
      </w:r>
    </w:p>
    <w:p>
      <w:pPr>
        <w:widowControl w:val="0"/>
        <w:spacing w:line="560" w:lineRule="exact"/>
        <w:ind w:firstLine="562" w:firstLineChars="200"/>
        <w:jc w:val="both"/>
        <w:rPr>
          <w:rFonts w:eastAsia="仿宋_GB2312"/>
          <w:b/>
          <w:bCs/>
          <w:color w:val="auto"/>
          <w:sz w:val="28"/>
          <w:szCs w:val="28"/>
        </w:rPr>
      </w:pPr>
      <w:r>
        <w:rPr>
          <w:rFonts w:hint="eastAsia" w:eastAsia="仿宋_GB2312"/>
          <w:b/>
          <w:bCs/>
          <w:color w:val="auto"/>
          <w:sz w:val="28"/>
          <w:szCs w:val="28"/>
        </w:rPr>
        <w:t>2.面临形势</w:t>
      </w:r>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十四五”时期是我国开启全面建设社会主义现代化国家新征程的第一个五年，进入新发展阶段贯彻新发展理念构建新发展格局，以“威海要向精致城市方向发展”为总目标总方向总遵循，贯彻《威海市国民经济和社会发展第十四个五年规划和二〇三五年远景目标纲要》，大力推进产业现代化、城市国际化、新型城镇化、发展绿色化、治理现代化等五个特色优势领域走在前列，争当现代化强省建设排头兵，促进生态效益、经济效益、社会效益和谐统一，加快建设可持续的美丽生态之城，对全市矿业转型升级与高质量发展提出了新的要求。</w:t>
      </w:r>
    </w:p>
    <w:p>
      <w:pPr>
        <w:widowControl w:val="0"/>
        <w:spacing w:line="560" w:lineRule="exact"/>
        <w:ind w:firstLine="560" w:firstLineChars="200"/>
        <w:jc w:val="both"/>
        <w:rPr>
          <w:rFonts w:ascii="楷体_GB2312" w:eastAsia="楷体_GB2312"/>
          <w:color w:val="auto"/>
          <w:kern w:val="2"/>
          <w:sz w:val="28"/>
          <w:szCs w:val="28"/>
        </w:rPr>
      </w:pPr>
      <w:r>
        <w:rPr>
          <w:rFonts w:hint="eastAsia" w:ascii="楷体_GB2312" w:eastAsia="楷体_GB2312"/>
          <w:color w:val="auto"/>
          <w:kern w:val="2"/>
          <w:sz w:val="28"/>
          <w:szCs w:val="28"/>
        </w:rPr>
        <w:t>（1）经济社会发展要求矿产资源保障能力进一步提高</w:t>
      </w:r>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地热资源已探明的多为小型，需加快推动地热资源有效保护、科学勘查、合理利用和有序开发，促进温泉产业健康持续发展，为助推康养、旅游产业集群快速、高质量发展打下坚实的资源基础。饰面用花岗岩虽品种较多，但开发利用发展不平衡，持续发展需要提前布局，既要把现有的优势品种抓好、做强，又要不断挖掘优势品种的潜力资源。增强优势矿产后备资源保障，是实现“精致城市·幸福威海”全新建设新征程中走在前列的必要支撑。</w:t>
      </w:r>
    </w:p>
    <w:p>
      <w:pPr>
        <w:widowControl w:val="0"/>
        <w:spacing w:line="560" w:lineRule="exact"/>
        <w:ind w:firstLine="560" w:firstLineChars="200"/>
        <w:jc w:val="both"/>
        <w:rPr>
          <w:rFonts w:ascii="楷体_GB2312" w:eastAsia="楷体_GB2312"/>
          <w:color w:val="auto"/>
          <w:kern w:val="2"/>
          <w:sz w:val="28"/>
          <w:szCs w:val="28"/>
        </w:rPr>
      </w:pPr>
      <w:r>
        <w:rPr>
          <w:rFonts w:ascii="楷体_GB2312" w:eastAsia="楷体_GB2312"/>
          <w:color w:val="auto"/>
          <w:kern w:val="2"/>
          <w:sz w:val="28"/>
          <w:szCs w:val="28"/>
        </w:rPr>
        <w:t>（2）</w:t>
      </w:r>
      <w:r>
        <w:rPr>
          <w:rFonts w:hint="eastAsia" w:ascii="楷体_GB2312" w:eastAsia="楷体_GB2312"/>
          <w:color w:val="auto"/>
          <w:kern w:val="2"/>
          <w:sz w:val="28"/>
          <w:szCs w:val="28"/>
        </w:rPr>
        <w:t>矿业高质量</w:t>
      </w:r>
      <w:r>
        <w:rPr>
          <w:rFonts w:ascii="楷体_GB2312" w:eastAsia="楷体_GB2312"/>
          <w:color w:val="auto"/>
          <w:kern w:val="2"/>
          <w:sz w:val="28"/>
          <w:szCs w:val="28"/>
        </w:rPr>
        <w:t>发展</w:t>
      </w:r>
      <w:r>
        <w:rPr>
          <w:rFonts w:hint="eastAsia" w:ascii="楷体_GB2312" w:eastAsia="楷体_GB2312"/>
          <w:color w:val="auto"/>
          <w:kern w:val="2"/>
          <w:sz w:val="28"/>
          <w:szCs w:val="28"/>
        </w:rPr>
        <w:t>要求矿产资源开发利用</w:t>
      </w:r>
      <w:r>
        <w:rPr>
          <w:rFonts w:ascii="楷体_GB2312" w:eastAsia="楷体_GB2312"/>
          <w:color w:val="auto"/>
          <w:kern w:val="2"/>
          <w:sz w:val="28"/>
          <w:szCs w:val="28"/>
        </w:rPr>
        <w:t>水平</w:t>
      </w:r>
      <w:r>
        <w:rPr>
          <w:rFonts w:hint="eastAsia" w:ascii="楷体_GB2312" w:eastAsia="楷体_GB2312"/>
          <w:color w:val="auto"/>
          <w:kern w:val="2"/>
          <w:sz w:val="28"/>
          <w:szCs w:val="28"/>
        </w:rPr>
        <w:t>进一步提升</w:t>
      </w:r>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矿业绿色发展要求资源开发与环境保护并重，推广资源节约型、环境友好型开发利用新模式、新技术，加快矿业结构调整和转型升级，推进资源开发利用方式和矿业发展方式转变，促进社会、经济、资源、环境协调稳定发展。按照“减量化、再利用、资源化”的原则，加强节能减排，提升尾矿、废石等固体废弃物的有效处置与综合利用水平，将有限的资源转化为最大的经济效益，提高资源开发利用水平。</w:t>
      </w:r>
    </w:p>
    <w:p>
      <w:pPr>
        <w:widowControl w:val="0"/>
        <w:spacing w:line="560" w:lineRule="exact"/>
        <w:ind w:firstLine="560" w:firstLineChars="200"/>
        <w:jc w:val="both"/>
        <w:rPr>
          <w:rFonts w:ascii="楷体_GB2312" w:eastAsia="楷体_GB2312"/>
          <w:color w:val="auto"/>
          <w:kern w:val="2"/>
          <w:sz w:val="28"/>
          <w:szCs w:val="28"/>
        </w:rPr>
      </w:pPr>
      <w:r>
        <w:rPr>
          <w:rFonts w:hint="eastAsia" w:ascii="楷体_GB2312" w:eastAsia="楷体_GB2312"/>
          <w:color w:val="auto"/>
          <w:kern w:val="2"/>
          <w:sz w:val="28"/>
          <w:szCs w:val="28"/>
        </w:rPr>
        <w:t>（3）生态文明建设要求绿色矿业发展进一步推进</w:t>
      </w:r>
    </w:p>
    <w:p>
      <w:pPr>
        <w:widowControl w:val="0"/>
        <w:spacing w:line="560" w:lineRule="exact"/>
        <w:ind w:firstLine="560" w:firstLineChars="200"/>
        <w:jc w:val="both"/>
        <w:rPr>
          <w:rFonts w:eastAsia="仿宋_GB2312"/>
          <w:color w:val="auto"/>
          <w:kern w:val="2"/>
          <w:sz w:val="28"/>
          <w:szCs w:val="28"/>
        </w:rPr>
      </w:pPr>
      <w:r>
        <w:rPr>
          <w:rFonts w:hint="eastAsia" w:eastAsia="仿宋_GB2312"/>
          <w:color w:val="auto"/>
          <w:kern w:val="2"/>
          <w:sz w:val="28"/>
          <w:szCs w:val="28"/>
        </w:rPr>
        <w:t>统筹资源开发与生态环境保护的关系，实现环境生态化、开采方式科学化、资源利用高效化、管理信息数字化和矿区社区和谐化，必须推进绿色勘查和绿色矿山建设，大力推广矿产资源综合利用先进适用技术，不断加强矿山生态修复，妥善处理历史遗留的矿山环境问题，推动形成节约资源和保护环境的空间格局、产业结构、生产方式、生活方式。</w:t>
      </w:r>
    </w:p>
    <w:p>
      <w:pPr>
        <w:pStyle w:val="2"/>
        <w:spacing w:before="0" w:after="0" w:line="360" w:lineRule="auto"/>
        <w:rPr>
          <w:color w:val="auto"/>
        </w:rPr>
        <w:sectPr>
          <w:pgSz w:w="11906" w:h="16838"/>
          <w:pgMar w:top="1440" w:right="1797" w:bottom="1440" w:left="1797" w:header="709" w:footer="709" w:gutter="0"/>
          <w:cols w:space="708" w:num="1"/>
          <w:docGrid w:linePitch="360" w:charSpace="0"/>
        </w:sectPr>
      </w:pPr>
    </w:p>
    <w:p>
      <w:pPr>
        <w:pStyle w:val="2"/>
        <w:widowControl w:val="0"/>
        <w:spacing w:before="360" w:after="360" w:line="560" w:lineRule="exact"/>
        <w:ind w:firstLine="640" w:firstLineChars="200"/>
        <w:jc w:val="both"/>
        <w:rPr>
          <w:rFonts w:eastAsia="黑体" w:cs="黑体"/>
          <w:b w:val="0"/>
          <w:bCs w:val="0"/>
          <w:color w:val="auto"/>
          <w:kern w:val="0"/>
          <w:sz w:val="32"/>
          <w:szCs w:val="32"/>
        </w:rPr>
      </w:pPr>
      <w:bookmarkStart w:id="13" w:name="_Toc79415214"/>
      <w:r>
        <w:rPr>
          <w:rFonts w:eastAsia="黑体" w:cs="黑体"/>
          <w:b w:val="0"/>
          <w:bCs w:val="0"/>
          <w:color w:val="auto"/>
          <w:kern w:val="0"/>
          <w:sz w:val="32"/>
          <w:szCs w:val="32"/>
        </w:rPr>
        <w:t>二、指导思想、原则与目标</w:t>
      </w:r>
      <w:bookmarkEnd w:id="13"/>
    </w:p>
    <w:p>
      <w:pPr>
        <w:pStyle w:val="3"/>
        <w:widowControl w:val="0"/>
        <w:spacing w:beforeLines="50" w:afterLines="50" w:line="560" w:lineRule="exact"/>
        <w:ind w:firstLine="643" w:firstLineChars="200"/>
        <w:rPr>
          <w:rFonts w:ascii="Times New Roman" w:hAnsi="Times New Roman" w:eastAsia="楷体" w:cs="楷体"/>
          <w:color w:val="auto"/>
          <w:kern w:val="2"/>
        </w:rPr>
      </w:pPr>
      <w:bookmarkStart w:id="14" w:name="_Toc79415215"/>
      <w:r>
        <w:rPr>
          <w:rFonts w:ascii="Times New Roman" w:hAnsi="Times New Roman" w:eastAsia="楷体" w:cs="楷体"/>
          <w:color w:val="auto"/>
          <w:kern w:val="2"/>
        </w:rPr>
        <w:t>（一）指导思想</w:t>
      </w:r>
      <w:bookmarkEnd w:id="14"/>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全面贯彻落实党的十九大和十九届二中、三中、四中、五中全会精神和习近平总书记视察山东、威海时的重要讲话、重要指示和批示精神，牢固树立“绿水青山就是金山银山”新发展理念。围绕“威海要向精致城市方向发展”目标定位，以《威海市国民经济和社会发展第十四个五年规划和二〇三五年远景目标纲要》为目标，紧密衔接威海市国土空间规划，</w:t>
      </w:r>
      <w:r>
        <w:rPr>
          <w:rFonts w:eastAsia="仿宋_GB2312"/>
          <w:color w:val="auto"/>
          <w:kern w:val="2"/>
          <w:sz w:val="28"/>
          <w:szCs w:val="28"/>
        </w:rPr>
        <w:t>统筹部署全市矿产资源勘查、开发、利用与生态保护，优化矿业结构与布局，</w:t>
      </w:r>
      <w:r>
        <w:rPr>
          <w:rFonts w:hint="eastAsia" w:eastAsia="仿宋_GB2312"/>
          <w:color w:val="auto"/>
          <w:kern w:val="2"/>
          <w:sz w:val="28"/>
          <w:szCs w:val="28"/>
        </w:rPr>
        <w:t>全面推进绿色矿山建设，整体提升资源开发利用效率和水平，努力实现矿业更高质量、更有效率、更加公平、更可持续、更为安全的发展，实现资源与经济社会和环境协调发展。</w:t>
      </w:r>
    </w:p>
    <w:p>
      <w:pPr>
        <w:pStyle w:val="3"/>
        <w:widowControl w:val="0"/>
        <w:spacing w:beforeLines="50" w:afterLines="50" w:line="560" w:lineRule="exact"/>
        <w:ind w:firstLine="643" w:firstLineChars="200"/>
        <w:rPr>
          <w:rFonts w:ascii="Times New Roman" w:hAnsi="Times New Roman" w:eastAsia="楷体" w:cs="楷体"/>
          <w:color w:val="auto"/>
          <w:kern w:val="2"/>
        </w:rPr>
      </w:pPr>
      <w:bookmarkStart w:id="15" w:name="_Toc79415216"/>
      <w:r>
        <w:rPr>
          <w:rFonts w:ascii="Times New Roman" w:hAnsi="Times New Roman" w:eastAsia="楷体" w:cs="楷体"/>
          <w:color w:val="auto"/>
          <w:kern w:val="2"/>
        </w:rPr>
        <w:t>（二）基本原则</w:t>
      </w:r>
      <w:bookmarkEnd w:id="15"/>
    </w:p>
    <w:p>
      <w:pPr>
        <w:widowControl w:val="0"/>
        <w:spacing w:line="540" w:lineRule="exact"/>
        <w:ind w:firstLine="560" w:firstLineChars="200"/>
        <w:jc w:val="both"/>
        <w:rPr>
          <w:rFonts w:eastAsia="仿宋_GB2312"/>
          <w:color w:val="auto"/>
          <w:kern w:val="2"/>
          <w:sz w:val="28"/>
          <w:szCs w:val="28"/>
        </w:rPr>
      </w:pPr>
      <w:r>
        <w:rPr>
          <w:rFonts w:hint="eastAsia" w:ascii="楷体_GB2312" w:eastAsia="楷体_GB2312"/>
          <w:color w:val="auto"/>
          <w:kern w:val="2"/>
          <w:sz w:val="28"/>
          <w:szCs w:val="28"/>
        </w:rPr>
        <w:t>——生态保护与资源开发相协调。</w:t>
      </w:r>
      <w:r>
        <w:rPr>
          <w:rFonts w:hint="eastAsia" w:eastAsia="仿宋_GB2312"/>
          <w:color w:val="auto"/>
          <w:kern w:val="2"/>
          <w:sz w:val="28"/>
          <w:szCs w:val="28"/>
        </w:rPr>
        <w:t>以深化“无废城市”建设为导向，把生态文明建设融入矿产资源勘查开发保护全过程，完善矿产资源管理和宏观调控，优化矿业布局，加强绿色矿山建设，坚持绿色勘查、绿色开发，促进生态效益、经济效益、社会效益和谐统一，为加快建设可持续的美丽生态之城，提供资源保障。</w:t>
      </w:r>
    </w:p>
    <w:p>
      <w:pPr>
        <w:widowControl w:val="0"/>
        <w:spacing w:line="540" w:lineRule="exact"/>
        <w:ind w:firstLine="560" w:firstLineChars="200"/>
        <w:jc w:val="both"/>
        <w:rPr>
          <w:rFonts w:eastAsia="仿宋_GB2312"/>
          <w:color w:val="auto"/>
          <w:kern w:val="2"/>
          <w:sz w:val="28"/>
          <w:szCs w:val="28"/>
        </w:rPr>
      </w:pPr>
      <w:r>
        <w:rPr>
          <w:rFonts w:hint="eastAsia" w:ascii="楷体_GB2312" w:eastAsia="楷体_GB2312"/>
          <w:color w:val="auto"/>
          <w:kern w:val="2"/>
          <w:sz w:val="28"/>
          <w:szCs w:val="28"/>
        </w:rPr>
        <w:t>——保护资源与资源开发相并重。</w:t>
      </w:r>
      <w:r>
        <w:rPr>
          <w:rFonts w:hint="eastAsia" w:eastAsia="仿宋_GB2312"/>
          <w:color w:val="auto"/>
          <w:kern w:val="2"/>
          <w:sz w:val="28"/>
          <w:szCs w:val="28"/>
        </w:rPr>
        <w:t>以社会主义市场经济为导向，优化资源配置，坚持“在保护中开发、在开发中保护，把保护放在更加突出的位置”，实现矿产资源有序勘查、科学开发、有效保护、节约集约、综合利用，增强矿业持续发展动力</w:t>
      </w:r>
      <w:r>
        <w:rPr>
          <w:rFonts w:hint="eastAsia" w:ascii="仿宋_GB2312" w:hAnsi="仿宋_GB2312" w:eastAsia="仿宋_GB2312" w:cs="仿宋_GB2312"/>
          <w:color w:val="auto"/>
          <w:kern w:val="2"/>
          <w:sz w:val="28"/>
          <w:szCs w:val="28"/>
        </w:rPr>
        <w:t>。</w:t>
      </w:r>
    </w:p>
    <w:p>
      <w:pPr>
        <w:widowControl w:val="0"/>
        <w:spacing w:line="540" w:lineRule="exact"/>
        <w:ind w:firstLine="560" w:firstLineChars="200"/>
        <w:jc w:val="both"/>
        <w:rPr>
          <w:rFonts w:eastAsia="仿宋_GB2312"/>
          <w:color w:val="auto"/>
          <w:kern w:val="2"/>
          <w:sz w:val="28"/>
          <w:szCs w:val="28"/>
        </w:rPr>
      </w:pPr>
      <w:r>
        <w:rPr>
          <w:rFonts w:hint="eastAsia" w:ascii="楷体_GB2312" w:eastAsia="楷体_GB2312"/>
          <w:color w:val="auto"/>
          <w:kern w:val="2"/>
          <w:sz w:val="28"/>
          <w:szCs w:val="28"/>
        </w:rPr>
        <w:t>——区域经济发展与资源开发相适应。</w:t>
      </w:r>
      <w:r>
        <w:rPr>
          <w:rFonts w:hint="eastAsia" w:eastAsia="仿宋_GB2312"/>
          <w:color w:val="auto"/>
          <w:kern w:val="2"/>
          <w:sz w:val="28"/>
          <w:szCs w:val="28"/>
        </w:rPr>
        <w:t>围绕重点发展区域、重大工程建设等市场需求，高效开发区域优势矿产资源，给经济发展提供有力的资源服务保障，增强城市可持续发展能力，实现资源开发与区域社会经济同步发展。</w:t>
      </w:r>
    </w:p>
    <w:p>
      <w:pPr>
        <w:widowControl w:val="0"/>
        <w:spacing w:line="540" w:lineRule="exact"/>
        <w:ind w:firstLine="560" w:firstLineChars="200"/>
        <w:jc w:val="both"/>
        <w:rPr>
          <w:rFonts w:eastAsia="仿宋_GB2312"/>
          <w:color w:val="auto"/>
          <w:kern w:val="2"/>
          <w:sz w:val="28"/>
          <w:szCs w:val="28"/>
        </w:rPr>
      </w:pPr>
      <w:r>
        <w:rPr>
          <w:rFonts w:hint="eastAsia" w:ascii="楷体_GB2312" w:eastAsia="楷体_GB2312"/>
          <w:color w:val="auto"/>
          <w:kern w:val="2"/>
          <w:sz w:val="28"/>
          <w:szCs w:val="28"/>
        </w:rPr>
        <w:t>——坚持共享发展，促进资源惠民利民。</w:t>
      </w:r>
      <w:r>
        <w:rPr>
          <w:rFonts w:hint="eastAsia" w:eastAsia="仿宋_GB2312"/>
          <w:color w:val="auto"/>
          <w:kern w:val="2"/>
          <w:sz w:val="28"/>
          <w:szCs w:val="28"/>
        </w:rPr>
        <w:t>推进资源优势转化为经济发展优势，促进威海市经济协调发展，推进政府、企业、矿区群众共享资源开发收益，共享矿业发展成果，服务民生改善。</w:t>
      </w:r>
    </w:p>
    <w:p>
      <w:pPr>
        <w:pStyle w:val="3"/>
        <w:widowControl w:val="0"/>
        <w:spacing w:beforeLines="50" w:afterLines="50" w:line="560" w:lineRule="exact"/>
        <w:ind w:firstLine="643" w:firstLineChars="200"/>
        <w:rPr>
          <w:rFonts w:ascii="Times New Roman" w:hAnsi="Times New Roman" w:eastAsia="楷体" w:cs="楷体"/>
          <w:color w:val="auto"/>
          <w:kern w:val="2"/>
        </w:rPr>
      </w:pPr>
      <w:bookmarkStart w:id="16" w:name="_Toc185255927"/>
      <w:bookmarkStart w:id="17" w:name="_Toc79415217"/>
      <w:bookmarkStart w:id="18" w:name="_Toc184977524"/>
      <w:bookmarkStart w:id="19" w:name="_Toc226339553"/>
      <w:bookmarkStart w:id="20" w:name="_Toc455576693"/>
      <w:r>
        <w:rPr>
          <w:rFonts w:ascii="Times New Roman" w:hAnsi="Times New Roman" w:eastAsia="楷体" w:cs="楷体"/>
          <w:color w:val="auto"/>
          <w:kern w:val="2"/>
        </w:rPr>
        <w:t>（三）规划目标</w:t>
      </w:r>
      <w:bookmarkEnd w:id="16"/>
      <w:bookmarkEnd w:id="17"/>
      <w:bookmarkEnd w:id="18"/>
      <w:bookmarkEnd w:id="19"/>
      <w:bookmarkEnd w:id="20"/>
    </w:p>
    <w:p>
      <w:pPr>
        <w:widowControl w:val="0"/>
        <w:spacing w:line="560" w:lineRule="exact"/>
        <w:ind w:firstLine="562" w:firstLineChars="200"/>
        <w:jc w:val="both"/>
        <w:rPr>
          <w:rFonts w:eastAsia="仿宋_GB2312"/>
          <w:b/>
          <w:bCs/>
          <w:color w:val="auto"/>
          <w:sz w:val="28"/>
          <w:szCs w:val="28"/>
        </w:rPr>
      </w:pPr>
      <w:r>
        <w:rPr>
          <w:rFonts w:eastAsia="仿宋_GB2312"/>
          <w:b/>
          <w:bCs/>
          <w:color w:val="auto"/>
          <w:sz w:val="28"/>
          <w:szCs w:val="28"/>
        </w:rPr>
        <w:t>1.总体目标</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落实省规划，加强公益性地质和战略性矿产调查评价、勘查工作，提高特色矿产资源（地热、饰面用花岗岩）勘查力度，进一步提高主要矿产资源的保障程度，服务于《威海市国民经济和社会发展第十四个五年规划和二〇三五年远景目标纲要》的实现。促进资源保护，优化资源配置，实现资源开发与区域发展、生态保护、产业转型相协调。矿产资源勘查、开发和保护格局更加优化，矿产资源资源统筹和服务保障能力持续增强；</w:t>
      </w:r>
      <w:r>
        <w:rPr>
          <w:rFonts w:eastAsia="仿宋_GB2312"/>
          <w:color w:val="auto"/>
          <w:kern w:val="2"/>
          <w:sz w:val="28"/>
          <w:szCs w:val="28"/>
        </w:rPr>
        <w:t>优化资源开发利用布局和开发利用方式，提高产业集中度；调控矿产开采总量，</w:t>
      </w:r>
      <w:r>
        <w:rPr>
          <w:rFonts w:hint="eastAsia" w:eastAsia="仿宋_GB2312"/>
          <w:color w:val="auto"/>
          <w:kern w:val="2"/>
          <w:sz w:val="28"/>
          <w:szCs w:val="28"/>
        </w:rPr>
        <w:t>优化开发利用</w:t>
      </w:r>
      <w:r>
        <w:rPr>
          <w:rFonts w:eastAsia="仿宋_GB2312"/>
          <w:color w:val="auto"/>
          <w:kern w:val="2"/>
          <w:sz w:val="28"/>
          <w:szCs w:val="28"/>
        </w:rPr>
        <w:t>结构；</w:t>
      </w:r>
      <w:r>
        <w:rPr>
          <w:rFonts w:hint="eastAsia" w:eastAsia="仿宋_GB2312"/>
          <w:color w:val="auto"/>
          <w:kern w:val="2"/>
          <w:sz w:val="28"/>
          <w:szCs w:val="28"/>
        </w:rPr>
        <w:t>矿业规模化、绿色化、节约集约化水平显著提升</w:t>
      </w:r>
      <w:r>
        <w:rPr>
          <w:rFonts w:eastAsia="仿宋_GB2312"/>
          <w:color w:val="auto"/>
          <w:kern w:val="2"/>
          <w:sz w:val="28"/>
          <w:szCs w:val="28"/>
        </w:rPr>
        <w:t>；绿色矿山建设</w:t>
      </w:r>
      <w:r>
        <w:rPr>
          <w:rFonts w:hint="eastAsia" w:eastAsia="仿宋_GB2312"/>
          <w:color w:val="auto"/>
          <w:kern w:val="2"/>
          <w:sz w:val="28"/>
          <w:szCs w:val="28"/>
        </w:rPr>
        <w:t>全面推进，明确矿区生态保护责任主体</w:t>
      </w:r>
      <w:r>
        <w:rPr>
          <w:rFonts w:eastAsia="仿宋_GB2312"/>
          <w:color w:val="auto"/>
          <w:kern w:val="2"/>
          <w:sz w:val="28"/>
          <w:szCs w:val="28"/>
        </w:rPr>
        <w:t>，</w:t>
      </w:r>
      <w:r>
        <w:rPr>
          <w:rFonts w:hint="eastAsia" w:eastAsia="仿宋_GB2312"/>
          <w:color w:val="auto"/>
          <w:kern w:val="2"/>
          <w:sz w:val="28"/>
          <w:szCs w:val="28"/>
        </w:rPr>
        <w:t>形成节约高效、环境友好、矿地和谐的绿色矿业发展格局</w:t>
      </w:r>
      <w:r>
        <w:rPr>
          <w:rFonts w:eastAsia="仿宋_GB2312"/>
          <w:color w:val="auto"/>
          <w:kern w:val="2"/>
          <w:sz w:val="28"/>
          <w:szCs w:val="28"/>
        </w:rPr>
        <w:t>，促进矿产资源勘查</w:t>
      </w:r>
      <w:r>
        <w:rPr>
          <w:rFonts w:hint="eastAsia" w:eastAsia="仿宋_GB2312"/>
          <w:color w:val="auto"/>
          <w:kern w:val="2"/>
          <w:sz w:val="28"/>
          <w:szCs w:val="28"/>
        </w:rPr>
        <w:t>、</w:t>
      </w:r>
      <w:r>
        <w:rPr>
          <w:rFonts w:eastAsia="仿宋_GB2312"/>
          <w:color w:val="auto"/>
          <w:kern w:val="2"/>
          <w:sz w:val="28"/>
          <w:szCs w:val="28"/>
        </w:rPr>
        <w:t>开发与生态保护协调发展。</w:t>
      </w:r>
    </w:p>
    <w:p>
      <w:pPr>
        <w:widowControl w:val="0"/>
        <w:spacing w:line="560" w:lineRule="exact"/>
        <w:ind w:firstLine="562" w:firstLineChars="200"/>
        <w:jc w:val="both"/>
        <w:rPr>
          <w:rFonts w:eastAsia="仿宋_GB2312"/>
          <w:b/>
          <w:bCs/>
          <w:color w:val="auto"/>
          <w:sz w:val="28"/>
          <w:szCs w:val="28"/>
        </w:rPr>
      </w:pPr>
      <w:r>
        <w:rPr>
          <w:rFonts w:eastAsia="仿宋_GB2312"/>
          <w:b/>
          <w:bCs/>
          <w:color w:val="auto"/>
          <w:sz w:val="28"/>
          <w:szCs w:val="28"/>
        </w:rPr>
        <w:t>2.202</w:t>
      </w:r>
      <w:r>
        <w:rPr>
          <w:rFonts w:hint="eastAsia" w:eastAsia="仿宋_GB2312"/>
          <w:b/>
          <w:bCs/>
          <w:color w:val="auto"/>
          <w:sz w:val="28"/>
          <w:szCs w:val="28"/>
        </w:rPr>
        <w:t>5</w:t>
      </w:r>
      <w:r>
        <w:rPr>
          <w:rFonts w:eastAsia="仿宋_GB2312"/>
          <w:b/>
          <w:bCs/>
          <w:color w:val="auto"/>
          <w:sz w:val="28"/>
          <w:szCs w:val="28"/>
        </w:rPr>
        <w:t>年规划目标</w:t>
      </w:r>
    </w:p>
    <w:p>
      <w:pPr>
        <w:widowControl w:val="0"/>
        <w:spacing w:line="540" w:lineRule="exact"/>
        <w:ind w:firstLine="560" w:firstLineChars="200"/>
        <w:jc w:val="both"/>
        <w:rPr>
          <w:rFonts w:eastAsia="仿宋_GB2312"/>
          <w:color w:val="auto"/>
          <w:kern w:val="2"/>
          <w:sz w:val="28"/>
          <w:szCs w:val="28"/>
        </w:rPr>
      </w:pPr>
      <w:r>
        <w:rPr>
          <w:rFonts w:eastAsia="仿宋_GB2312"/>
          <w:color w:val="auto"/>
          <w:kern w:val="2"/>
          <w:sz w:val="28"/>
          <w:szCs w:val="28"/>
        </w:rPr>
        <w:t>（1）</w:t>
      </w:r>
      <w:r>
        <w:rPr>
          <w:rFonts w:hint="eastAsia" w:eastAsia="仿宋_GB2312"/>
          <w:color w:val="auto"/>
          <w:kern w:val="2"/>
          <w:sz w:val="28"/>
          <w:szCs w:val="28"/>
        </w:rPr>
        <w:t>基础性、公益性地质调查与地质调查评价</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落实省规划基础性、公益性地质调查；开展威海市水文地质调查、城市地质调查；加强海洋、海岸带地质工作，服务海洋强市建设；推进旅游地质、水文地质、土地质量地球化学调查等基础性地质调查工作，服务全市经济建设和城镇化建设。</w:t>
      </w:r>
    </w:p>
    <w:p>
      <w:pPr>
        <w:widowControl w:val="0"/>
        <w:spacing w:line="540" w:lineRule="exact"/>
        <w:ind w:firstLine="560" w:firstLineChars="200"/>
        <w:jc w:val="both"/>
        <w:rPr>
          <w:rFonts w:eastAsia="仿宋_GB2312"/>
          <w:color w:val="auto"/>
          <w:kern w:val="2"/>
          <w:sz w:val="28"/>
          <w:szCs w:val="28"/>
        </w:rPr>
      </w:pPr>
      <w:r>
        <w:rPr>
          <w:rFonts w:eastAsia="仿宋_GB2312"/>
          <w:color w:val="auto"/>
          <w:kern w:val="2"/>
          <w:sz w:val="28"/>
          <w:szCs w:val="28"/>
        </w:rPr>
        <w:t>落实省规划</w:t>
      </w:r>
      <w:r>
        <w:rPr>
          <w:rFonts w:hint="eastAsia" w:eastAsia="仿宋_GB2312"/>
          <w:color w:val="auto"/>
          <w:kern w:val="2"/>
          <w:sz w:val="28"/>
          <w:szCs w:val="28"/>
        </w:rPr>
        <w:t>“山东省牟平</w:t>
      </w:r>
      <w:bookmarkStart w:id="21" w:name="_Hlk77842784"/>
      <w:r>
        <w:rPr>
          <w:rFonts w:hint="eastAsia" w:eastAsia="仿宋_GB2312"/>
          <w:color w:val="auto"/>
          <w:kern w:val="2"/>
          <w:sz w:val="28"/>
          <w:szCs w:val="28"/>
        </w:rPr>
        <w:t>—</w:t>
      </w:r>
      <w:bookmarkEnd w:id="21"/>
      <w:r>
        <w:rPr>
          <w:rFonts w:hint="eastAsia" w:eastAsia="仿宋_GB2312"/>
          <w:color w:val="auto"/>
          <w:kern w:val="2"/>
          <w:sz w:val="28"/>
          <w:szCs w:val="28"/>
        </w:rPr>
        <w:t>乳山成矿带南段调查评价”和“山东省文登-荣成铜钼铅锌银矿调查评价区”。</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（2）矿产资源勘查</w:t>
      </w:r>
    </w:p>
    <w:p>
      <w:pPr>
        <w:widowControl w:val="0"/>
        <w:spacing w:line="540" w:lineRule="exact"/>
        <w:ind w:firstLine="560" w:firstLineChars="200"/>
        <w:jc w:val="both"/>
        <w:rPr>
          <w:rFonts w:eastAsia="仿宋_GB2312"/>
          <w:color w:val="auto"/>
          <w:kern w:val="2"/>
          <w:sz w:val="28"/>
          <w:szCs w:val="28"/>
        </w:rPr>
      </w:pPr>
      <w:r>
        <w:rPr>
          <w:rFonts w:eastAsia="仿宋_GB2312"/>
          <w:color w:val="auto"/>
          <w:kern w:val="2"/>
          <w:sz w:val="28"/>
          <w:szCs w:val="28"/>
        </w:rPr>
        <w:t>落实省规划</w:t>
      </w:r>
      <w:r>
        <w:rPr>
          <w:rFonts w:hint="eastAsia" w:eastAsia="仿宋_GB2312"/>
          <w:color w:val="auto"/>
          <w:kern w:val="2"/>
          <w:sz w:val="28"/>
          <w:szCs w:val="28"/>
        </w:rPr>
        <w:t>“山东牟平—乳山金矿重点勘查区”和“山东胶莱盆地东北缘金矿重点勘查区”矿产资源勘查。发挥我市地热资源优势，加强地热、干热岩等清洁能源地质勘查，开展深部热源聚集区地热资源调查，探索干热岩开发利用技术，积极开展全市地热异常区域预可行性勘查工作，增强后备资源保障。预期探矿权总数35个，新发现和评价重要矿产大中型矿产地1处以上。</w:t>
      </w:r>
    </w:p>
    <w:p>
      <w:pPr>
        <w:widowControl w:val="0"/>
        <w:spacing w:line="540" w:lineRule="exact"/>
        <w:ind w:firstLine="560" w:firstLineChars="200"/>
        <w:jc w:val="both"/>
        <w:rPr>
          <w:rFonts w:eastAsia="仿宋_GB2312"/>
          <w:color w:val="auto"/>
          <w:kern w:val="2"/>
          <w:sz w:val="28"/>
          <w:szCs w:val="28"/>
        </w:rPr>
      </w:pPr>
      <w:r>
        <w:rPr>
          <w:rFonts w:eastAsia="仿宋_GB2312"/>
          <w:color w:val="auto"/>
          <w:kern w:val="2"/>
          <w:sz w:val="28"/>
          <w:szCs w:val="28"/>
        </w:rPr>
        <w:t>（</w:t>
      </w:r>
      <w:r>
        <w:rPr>
          <w:rFonts w:hint="eastAsia" w:eastAsia="仿宋_GB2312"/>
          <w:color w:val="auto"/>
          <w:kern w:val="2"/>
          <w:sz w:val="28"/>
          <w:szCs w:val="28"/>
        </w:rPr>
        <w:t>3</w:t>
      </w:r>
      <w:r>
        <w:rPr>
          <w:rFonts w:eastAsia="仿宋_GB2312"/>
          <w:color w:val="auto"/>
          <w:kern w:val="2"/>
          <w:sz w:val="28"/>
          <w:szCs w:val="28"/>
        </w:rPr>
        <w:t>）</w:t>
      </w:r>
      <w:r>
        <w:rPr>
          <w:rFonts w:hint="eastAsia" w:eastAsia="仿宋_GB2312"/>
          <w:color w:val="auto"/>
          <w:kern w:val="2"/>
          <w:sz w:val="28"/>
          <w:szCs w:val="28"/>
        </w:rPr>
        <w:t>矿产资源开发利用</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1）主要矿产开采总量。2025年，</w:t>
      </w:r>
      <w:r>
        <w:rPr>
          <w:rFonts w:eastAsia="仿宋_GB2312"/>
          <w:color w:val="auto"/>
          <w:kern w:val="2"/>
          <w:sz w:val="28"/>
          <w:szCs w:val="28"/>
        </w:rPr>
        <w:t>主要矿产年开采量控制在石墨矿</w:t>
      </w:r>
      <w:r>
        <w:rPr>
          <w:rFonts w:hint="eastAsia" w:eastAsia="仿宋_GB2312"/>
          <w:color w:val="auto"/>
          <w:kern w:val="2"/>
          <w:sz w:val="28"/>
          <w:szCs w:val="28"/>
        </w:rPr>
        <w:t>10万吨、</w:t>
      </w:r>
      <w:r>
        <w:rPr>
          <w:rFonts w:eastAsia="仿宋_GB2312"/>
          <w:color w:val="auto"/>
          <w:kern w:val="2"/>
          <w:sz w:val="28"/>
          <w:szCs w:val="28"/>
        </w:rPr>
        <w:t>金矿</w:t>
      </w:r>
      <w:r>
        <w:rPr>
          <w:rFonts w:hint="eastAsia" w:eastAsia="仿宋_GB2312"/>
          <w:color w:val="auto"/>
          <w:kern w:val="2"/>
          <w:sz w:val="28"/>
          <w:szCs w:val="28"/>
        </w:rPr>
        <w:t>120</w:t>
      </w:r>
      <w:r>
        <w:rPr>
          <w:rFonts w:eastAsia="仿宋_GB2312"/>
          <w:color w:val="auto"/>
          <w:kern w:val="2"/>
          <w:sz w:val="28"/>
          <w:szCs w:val="28"/>
        </w:rPr>
        <w:t>万吨</w:t>
      </w:r>
      <w:r>
        <w:rPr>
          <w:rFonts w:hint="eastAsia" w:eastAsia="仿宋_GB2312"/>
          <w:color w:val="auto"/>
          <w:kern w:val="2"/>
          <w:sz w:val="28"/>
          <w:szCs w:val="28"/>
        </w:rPr>
        <w:t>、</w:t>
      </w:r>
      <w:r>
        <w:rPr>
          <w:rFonts w:eastAsia="仿宋_GB2312"/>
          <w:color w:val="auto"/>
          <w:kern w:val="2"/>
          <w:sz w:val="28"/>
          <w:szCs w:val="28"/>
        </w:rPr>
        <w:t>铁矿</w:t>
      </w:r>
      <w:r>
        <w:rPr>
          <w:rFonts w:hint="eastAsia" w:eastAsia="仿宋_GB2312"/>
          <w:color w:val="auto"/>
          <w:kern w:val="2"/>
          <w:sz w:val="28"/>
          <w:szCs w:val="28"/>
        </w:rPr>
        <w:t>45</w:t>
      </w:r>
      <w:r>
        <w:rPr>
          <w:rFonts w:eastAsia="仿宋_GB2312"/>
          <w:color w:val="auto"/>
          <w:kern w:val="2"/>
          <w:sz w:val="28"/>
          <w:szCs w:val="28"/>
        </w:rPr>
        <w:t>万吨</w:t>
      </w:r>
      <w:r>
        <w:rPr>
          <w:rFonts w:hint="eastAsia" w:eastAsia="仿宋_GB2312"/>
          <w:color w:val="auto"/>
          <w:kern w:val="2"/>
          <w:sz w:val="28"/>
          <w:szCs w:val="28"/>
        </w:rPr>
        <w:t>、</w:t>
      </w:r>
      <w:r>
        <w:rPr>
          <w:rFonts w:eastAsia="仿宋_GB2312"/>
          <w:color w:val="auto"/>
          <w:kern w:val="2"/>
          <w:sz w:val="28"/>
          <w:szCs w:val="28"/>
        </w:rPr>
        <w:t>银矿</w:t>
      </w:r>
      <w:r>
        <w:rPr>
          <w:rFonts w:hint="eastAsia" w:eastAsia="仿宋_GB2312"/>
          <w:color w:val="auto"/>
          <w:kern w:val="2"/>
          <w:sz w:val="28"/>
          <w:szCs w:val="28"/>
        </w:rPr>
        <w:t>3</w:t>
      </w:r>
      <w:r>
        <w:rPr>
          <w:rFonts w:eastAsia="仿宋_GB2312"/>
          <w:color w:val="auto"/>
          <w:kern w:val="2"/>
          <w:sz w:val="28"/>
          <w:szCs w:val="28"/>
        </w:rPr>
        <w:t>万吨</w:t>
      </w:r>
      <w:r>
        <w:rPr>
          <w:rFonts w:hint="eastAsia" w:eastAsia="仿宋_GB2312"/>
          <w:color w:val="auto"/>
          <w:kern w:val="2"/>
          <w:sz w:val="28"/>
          <w:szCs w:val="28"/>
        </w:rPr>
        <w:t>、</w:t>
      </w:r>
      <w:r>
        <w:rPr>
          <w:rFonts w:eastAsia="仿宋_GB2312"/>
          <w:color w:val="auto"/>
          <w:kern w:val="2"/>
          <w:sz w:val="28"/>
          <w:szCs w:val="28"/>
        </w:rPr>
        <w:t>地热</w:t>
      </w:r>
      <w:r>
        <w:rPr>
          <w:rFonts w:hint="eastAsia" w:eastAsia="仿宋_GB2312"/>
          <w:color w:val="auto"/>
          <w:kern w:val="2"/>
          <w:sz w:val="28"/>
          <w:szCs w:val="28"/>
        </w:rPr>
        <w:t>150</w:t>
      </w:r>
      <w:r>
        <w:rPr>
          <w:rFonts w:eastAsia="仿宋_GB2312"/>
          <w:color w:val="auto"/>
          <w:kern w:val="2"/>
          <w:sz w:val="28"/>
          <w:szCs w:val="28"/>
        </w:rPr>
        <w:t>万立方米</w:t>
      </w:r>
      <w:r>
        <w:rPr>
          <w:rFonts w:hint="eastAsia" w:eastAsia="仿宋_GB2312"/>
          <w:color w:val="auto"/>
          <w:kern w:val="2"/>
          <w:sz w:val="28"/>
          <w:szCs w:val="28"/>
        </w:rPr>
        <w:t>、高岭土5</w:t>
      </w:r>
      <w:r>
        <w:rPr>
          <w:rFonts w:eastAsia="仿宋_GB2312"/>
          <w:color w:val="auto"/>
          <w:kern w:val="2"/>
          <w:sz w:val="28"/>
          <w:szCs w:val="28"/>
        </w:rPr>
        <w:t>万吨</w:t>
      </w:r>
      <w:r>
        <w:rPr>
          <w:rFonts w:hint="eastAsia" w:eastAsia="仿宋_GB2312"/>
          <w:color w:val="auto"/>
          <w:kern w:val="2"/>
          <w:sz w:val="28"/>
          <w:szCs w:val="28"/>
        </w:rPr>
        <w:t>、蛇纹岩36</w:t>
      </w:r>
      <w:r>
        <w:rPr>
          <w:rFonts w:eastAsia="仿宋_GB2312"/>
          <w:color w:val="auto"/>
          <w:kern w:val="2"/>
          <w:sz w:val="28"/>
          <w:szCs w:val="28"/>
        </w:rPr>
        <w:t>万吨</w:t>
      </w:r>
      <w:r>
        <w:rPr>
          <w:rFonts w:hint="eastAsia" w:eastAsia="仿宋_GB2312"/>
          <w:color w:val="auto"/>
          <w:kern w:val="2"/>
          <w:sz w:val="28"/>
          <w:szCs w:val="28"/>
        </w:rPr>
        <w:t>、</w:t>
      </w:r>
      <w:r>
        <w:rPr>
          <w:rFonts w:eastAsia="仿宋_GB2312"/>
          <w:color w:val="auto"/>
          <w:kern w:val="2"/>
          <w:sz w:val="28"/>
          <w:szCs w:val="28"/>
        </w:rPr>
        <w:t>饰面用花岗岩</w:t>
      </w:r>
      <w:r>
        <w:rPr>
          <w:rFonts w:hint="eastAsia" w:eastAsia="仿宋_GB2312"/>
          <w:color w:val="auto"/>
          <w:kern w:val="2"/>
          <w:sz w:val="28"/>
          <w:szCs w:val="28"/>
        </w:rPr>
        <w:t>105</w:t>
      </w:r>
      <w:r>
        <w:rPr>
          <w:rFonts w:eastAsia="仿宋_GB2312"/>
          <w:color w:val="auto"/>
          <w:kern w:val="2"/>
          <w:sz w:val="28"/>
          <w:szCs w:val="28"/>
        </w:rPr>
        <w:t>万</w:t>
      </w:r>
      <w:r>
        <w:rPr>
          <w:rFonts w:hint="eastAsia" w:eastAsia="仿宋_GB2312"/>
          <w:color w:val="auto"/>
          <w:kern w:val="2"/>
          <w:sz w:val="28"/>
          <w:szCs w:val="28"/>
        </w:rPr>
        <w:t>立方米（荒料）、</w:t>
      </w:r>
      <w:r>
        <w:rPr>
          <w:rFonts w:eastAsia="仿宋_GB2312"/>
          <w:color w:val="auto"/>
          <w:kern w:val="2"/>
          <w:sz w:val="28"/>
          <w:szCs w:val="28"/>
        </w:rPr>
        <w:t>矿泉水</w:t>
      </w:r>
      <w:r>
        <w:rPr>
          <w:rFonts w:hint="eastAsia" w:eastAsia="仿宋_GB2312"/>
          <w:color w:val="auto"/>
          <w:kern w:val="2"/>
          <w:sz w:val="28"/>
          <w:szCs w:val="28"/>
        </w:rPr>
        <w:t>21</w:t>
      </w:r>
      <w:r>
        <w:rPr>
          <w:rFonts w:eastAsia="仿宋_GB2312"/>
          <w:color w:val="auto"/>
          <w:kern w:val="2"/>
          <w:sz w:val="28"/>
          <w:szCs w:val="28"/>
        </w:rPr>
        <w:t>万</w:t>
      </w:r>
      <w:r>
        <w:rPr>
          <w:rFonts w:hint="eastAsia" w:eastAsia="仿宋_GB2312"/>
          <w:color w:val="auto"/>
          <w:kern w:val="2"/>
          <w:sz w:val="28"/>
          <w:szCs w:val="28"/>
        </w:rPr>
        <w:t>立方米、</w:t>
      </w:r>
      <w:r>
        <w:rPr>
          <w:rFonts w:eastAsia="仿宋_GB2312"/>
          <w:color w:val="auto"/>
          <w:kern w:val="2"/>
          <w:sz w:val="28"/>
          <w:szCs w:val="28"/>
        </w:rPr>
        <w:t>建筑用花岗岩</w:t>
      </w:r>
      <w:r>
        <w:rPr>
          <w:rFonts w:hint="eastAsia" w:eastAsia="仿宋_GB2312"/>
          <w:color w:val="auto"/>
          <w:kern w:val="2"/>
          <w:sz w:val="28"/>
          <w:szCs w:val="28"/>
        </w:rPr>
        <w:t>520</w:t>
      </w:r>
      <w:r>
        <w:rPr>
          <w:rFonts w:eastAsia="仿宋_GB2312"/>
          <w:color w:val="auto"/>
          <w:kern w:val="2"/>
          <w:sz w:val="28"/>
          <w:szCs w:val="28"/>
        </w:rPr>
        <w:t>万</w:t>
      </w:r>
      <w:r>
        <w:rPr>
          <w:rFonts w:hint="eastAsia" w:eastAsia="仿宋_GB2312"/>
          <w:color w:val="auto"/>
          <w:kern w:val="2"/>
          <w:sz w:val="28"/>
          <w:szCs w:val="28"/>
        </w:rPr>
        <w:t>立方米、</w:t>
      </w:r>
      <w:r>
        <w:rPr>
          <w:rFonts w:eastAsia="仿宋_GB2312"/>
          <w:color w:val="auto"/>
          <w:kern w:val="2"/>
          <w:sz w:val="28"/>
          <w:szCs w:val="28"/>
        </w:rPr>
        <w:t>建筑用</w:t>
      </w:r>
      <w:r>
        <w:rPr>
          <w:rFonts w:hint="eastAsia" w:eastAsia="仿宋_GB2312"/>
          <w:color w:val="auto"/>
          <w:kern w:val="2"/>
          <w:sz w:val="28"/>
          <w:szCs w:val="28"/>
        </w:rPr>
        <w:t>安山</w:t>
      </w:r>
      <w:r>
        <w:rPr>
          <w:rFonts w:eastAsia="仿宋_GB2312"/>
          <w:color w:val="auto"/>
          <w:kern w:val="2"/>
          <w:sz w:val="28"/>
          <w:szCs w:val="28"/>
        </w:rPr>
        <w:t>岩</w:t>
      </w:r>
      <w:r>
        <w:rPr>
          <w:rFonts w:hint="eastAsia" w:eastAsia="仿宋_GB2312"/>
          <w:color w:val="auto"/>
          <w:kern w:val="2"/>
          <w:sz w:val="28"/>
          <w:szCs w:val="28"/>
        </w:rPr>
        <w:t>70</w:t>
      </w:r>
      <w:r>
        <w:rPr>
          <w:rFonts w:eastAsia="仿宋_GB2312"/>
          <w:color w:val="auto"/>
          <w:kern w:val="2"/>
          <w:sz w:val="28"/>
          <w:szCs w:val="28"/>
        </w:rPr>
        <w:t>万</w:t>
      </w:r>
      <w:r>
        <w:rPr>
          <w:rFonts w:hint="eastAsia" w:eastAsia="仿宋_GB2312"/>
          <w:color w:val="auto"/>
          <w:kern w:val="2"/>
          <w:sz w:val="28"/>
          <w:szCs w:val="28"/>
        </w:rPr>
        <w:t>立方米、建筑用砂70万立方米（见专栏二）</w:t>
      </w:r>
      <w:r>
        <w:rPr>
          <w:rFonts w:eastAsia="仿宋_GB2312"/>
          <w:color w:val="auto"/>
          <w:kern w:val="2"/>
          <w:sz w:val="28"/>
          <w:szCs w:val="28"/>
        </w:rPr>
        <w:t>。</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2）优化开发利用结构</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进一步压减小型矿山数量，调整优化开发和保护格局，2025年全市固体矿山总数控制在</w:t>
      </w:r>
      <w:r>
        <w:rPr>
          <w:rFonts w:hint="eastAsia" w:eastAsia="仿宋_GB2312"/>
          <w:color w:val="auto"/>
          <w:kern w:val="2"/>
          <w:sz w:val="28"/>
          <w:szCs w:val="28"/>
        </w:rPr>
        <w:t>50个以内，</w:t>
      </w:r>
      <w:r>
        <w:rPr>
          <w:rFonts w:hint="eastAsia" w:eastAsia="仿宋_GB2312"/>
          <w:color w:val="auto"/>
          <w:kern w:val="2"/>
          <w:sz w:val="28"/>
          <w:szCs w:val="28"/>
        </w:rPr>
        <w:t>固体矿产大中型矿山占固体矿山总数比例不低于65%，矿山规模化集约化程度明显提高。加强矿产资源产量和存量动态跟踪，拓宽资源回收利用渠道，大力提高矿山开采回收率、选矿回收率和综合利用率。</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（4）矿业转型升级与绿色矿山建设</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以绿色矿山建设为抓手，推广先进适用技术，提升矿产资源利用率，推进矿业经济绿色发展。重点开展绿色矿山建设，建立绿色矿山动态考核或评估管理机制，支持矿山企业智能化设备改造升级。</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新建矿山必须达标绿色矿山建设标准，生产矿山2025年绿色矿山建设率分别达到大型90%，中型80%，小型70%。共伴生矿产资源、固体废弃物综合利用率显著提高，矿山尾矿处理率 90%以上（见专栏二）。</w:t>
      </w:r>
    </w:p>
    <w:tbl>
      <w:tblPr>
        <w:tblStyle w:val="25"/>
        <w:tblpPr w:leftFromText="180" w:rightFromText="180" w:vertAnchor="text" w:horzAnchor="margin" w:tblpXSpec="center" w:tblpY="334"/>
        <w:tblW w:w="8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3"/>
        <w:gridCol w:w="2840"/>
        <w:gridCol w:w="1418"/>
        <w:gridCol w:w="992"/>
        <w:gridCol w:w="1192"/>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exact"/>
        </w:trPr>
        <w:tc>
          <w:tcPr>
            <w:tcW w:w="8282" w:type="dxa"/>
            <w:gridSpan w:val="6"/>
            <w:vAlign w:val="center"/>
          </w:tcPr>
          <w:p>
            <w:pPr>
              <w:jc w:val="center"/>
              <w:rPr>
                <w:rFonts w:cs="宋体" w:asciiTheme="minorEastAsia" w:hAnsiTheme="minorEastAsia" w:eastAsiaTheme="minorEastAsia"/>
                <w:color w:val="auto"/>
                <w:sz w:val="21"/>
                <w:szCs w:val="21"/>
              </w:rPr>
            </w:pPr>
            <w:r>
              <w:rPr>
                <w:rFonts w:hint="eastAsia" w:cs="黑体" w:asciiTheme="minorEastAsia" w:hAnsiTheme="minorEastAsia" w:eastAsiaTheme="minorEastAsia"/>
                <w:b/>
                <w:color w:val="auto"/>
                <w:sz w:val="21"/>
                <w:szCs w:val="21"/>
              </w:rPr>
              <w:t>专栏二  矿产资源开发与绿色矿山建设主要规划指标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类别</w:t>
            </w: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指标名称</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指标单位</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指标值</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指标属性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restart"/>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矿产资源开发利用与保护</w:t>
            </w: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矿山数量（固体矿产）</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个</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50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石墨</w:t>
            </w:r>
          </w:p>
        </w:tc>
        <w:tc>
          <w:tcPr>
            <w:tcW w:w="1418"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矿石万吨</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岩金</w:t>
            </w:r>
          </w:p>
        </w:tc>
        <w:tc>
          <w:tcPr>
            <w:tcW w:w="1418"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矿石万吨</w:t>
            </w:r>
          </w:p>
        </w:tc>
        <w:tc>
          <w:tcPr>
            <w:tcW w:w="992"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120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铁</w:t>
            </w:r>
          </w:p>
        </w:tc>
        <w:tc>
          <w:tcPr>
            <w:tcW w:w="1418"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万吨</w:t>
            </w:r>
          </w:p>
        </w:tc>
        <w:tc>
          <w:tcPr>
            <w:tcW w:w="992"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45</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银</w:t>
            </w:r>
          </w:p>
        </w:tc>
        <w:tc>
          <w:tcPr>
            <w:tcW w:w="1418"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矿石万吨</w:t>
            </w:r>
          </w:p>
        </w:tc>
        <w:tc>
          <w:tcPr>
            <w:tcW w:w="992"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3</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地热</w:t>
            </w:r>
          </w:p>
        </w:tc>
        <w:tc>
          <w:tcPr>
            <w:tcW w:w="1418"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万立方米</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150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高岭土</w:t>
            </w:r>
          </w:p>
        </w:tc>
        <w:tc>
          <w:tcPr>
            <w:tcW w:w="1418"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万吨</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5</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蛇纹岩</w:t>
            </w:r>
          </w:p>
        </w:tc>
        <w:tc>
          <w:tcPr>
            <w:tcW w:w="1418"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万吨</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36</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饰面用花岗岩</w:t>
            </w:r>
          </w:p>
        </w:tc>
        <w:tc>
          <w:tcPr>
            <w:tcW w:w="1418" w:type="dxa"/>
            <w:vAlign w:val="center"/>
          </w:tcPr>
          <w:p>
            <w:pPr>
              <w:jc w:val="center"/>
              <w:rPr>
                <w:rFonts w:asciiTheme="minorEastAsia" w:hAnsiTheme="minorEastAsia" w:eastAsiaTheme="minorEastAsia"/>
                <w:color w:val="auto"/>
                <w:spacing w:val="-30"/>
                <w:sz w:val="21"/>
                <w:szCs w:val="21"/>
              </w:rPr>
            </w:pPr>
            <w:r>
              <w:rPr>
                <w:rFonts w:hint="eastAsia" w:cs="宋体" w:asciiTheme="minorEastAsia" w:hAnsiTheme="minorEastAsia" w:eastAsiaTheme="minorEastAsia"/>
                <w:color w:val="auto"/>
                <w:spacing w:val="-30"/>
                <w:sz w:val="21"/>
                <w:szCs w:val="21"/>
              </w:rPr>
              <w:t>荒料 万立方米</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105</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矿泉水</w:t>
            </w:r>
          </w:p>
        </w:tc>
        <w:tc>
          <w:tcPr>
            <w:tcW w:w="1418"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万立方米</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21</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建筑用花岗岩</w:t>
            </w:r>
          </w:p>
        </w:tc>
        <w:tc>
          <w:tcPr>
            <w:tcW w:w="1418"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万立方米</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520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建筑用安山岩</w:t>
            </w:r>
          </w:p>
        </w:tc>
        <w:tc>
          <w:tcPr>
            <w:tcW w:w="1418"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万立方米</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70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建筑用砂</w:t>
            </w:r>
          </w:p>
        </w:tc>
        <w:tc>
          <w:tcPr>
            <w:tcW w:w="1418"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万立方米</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70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固体矿产大中型矿山比例</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≥65</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矿山尾矿处理率</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≥90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restart"/>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绿色矿业发展</w:t>
            </w:r>
          </w:p>
        </w:tc>
        <w:tc>
          <w:tcPr>
            <w:tcW w:w="2840" w:type="dxa"/>
            <w:vAlign w:val="center"/>
          </w:tcPr>
          <w:p>
            <w:pPr>
              <w:jc w:val="center"/>
              <w:rPr>
                <w:rFonts w:asciiTheme="minorEastAsia" w:hAnsiTheme="minorEastAsia" w:eastAsiaTheme="minorEastAsia"/>
                <w:color w:val="auto"/>
                <w:spacing w:val="-26"/>
                <w:sz w:val="21"/>
                <w:szCs w:val="21"/>
              </w:rPr>
            </w:pPr>
            <w:r>
              <w:rPr>
                <w:rFonts w:hint="eastAsia" w:asciiTheme="minorEastAsia" w:hAnsiTheme="minorEastAsia" w:eastAsiaTheme="minorEastAsia"/>
                <w:color w:val="auto"/>
                <w:spacing w:val="-26"/>
                <w:sz w:val="21"/>
                <w:szCs w:val="21"/>
              </w:rPr>
              <w:t>大型矿山绿色矿山达标比例</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90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pacing w:val="-26"/>
                <w:sz w:val="21"/>
                <w:szCs w:val="21"/>
              </w:rPr>
              <w:t>中型矿山绿色矿山达标比例</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80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pacing w:val="-26"/>
                <w:sz w:val="21"/>
                <w:szCs w:val="21"/>
              </w:rPr>
              <w:t>小型矿山绿色矿山达标比例</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70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851" w:hRule="exact"/>
        </w:trPr>
        <w:tc>
          <w:tcPr>
            <w:tcW w:w="1833"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历史遗留露天矿山地质环境治理</w:t>
            </w:r>
          </w:p>
        </w:tc>
        <w:tc>
          <w:tcPr>
            <w:tcW w:w="2840" w:type="dxa"/>
            <w:vAlign w:val="center"/>
          </w:tcPr>
          <w:p>
            <w:pPr>
              <w:jc w:val="center"/>
              <w:rPr>
                <w:rFonts w:asciiTheme="minorEastAsia" w:hAnsiTheme="minorEastAsia" w:eastAsiaTheme="minorEastAsia"/>
                <w:color w:val="auto"/>
                <w:spacing w:val="-26"/>
                <w:sz w:val="21"/>
                <w:szCs w:val="21"/>
              </w:rPr>
            </w:pPr>
            <w:r>
              <w:rPr>
                <w:rFonts w:hint="eastAsia" w:asciiTheme="minorEastAsia" w:hAnsiTheme="minorEastAsia" w:eastAsiaTheme="minorEastAsia"/>
                <w:color w:val="auto"/>
                <w:spacing w:val="-26"/>
                <w:sz w:val="21"/>
                <w:szCs w:val="21"/>
              </w:rPr>
              <w:t>2013-2017 年，关停露天开</w:t>
            </w:r>
          </w:p>
          <w:p>
            <w:pPr>
              <w:jc w:val="center"/>
              <w:rPr>
                <w:rFonts w:asciiTheme="minorEastAsia" w:hAnsiTheme="minorEastAsia" w:eastAsiaTheme="minorEastAsia"/>
                <w:color w:val="auto"/>
                <w:spacing w:val="-26"/>
                <w:sz w:val="21"/>
                <w:szCs w:val="21"/>
              </w:rPr>
            </w:pPr>
            <w:r>
              <w:rPr>
                <w:rFonts w:hint="eastAsia" w:asciiTheme="minorEastAsia" w:hAnsiTheme="minorEastAsia" w:eastAsiaTheme="minorEastAsia"/>
                <w:color w:val="auto"/>
                <w:spacing w:val="-26"/>
                <w:sz w:val="21"/>
                <w:szCs w:val="21"/>
              </w:rPr>
              <w:t>采矿山地质环境治理</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处</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14</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bl>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（5）矿山地质环境保护与治理恢复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建立健全矿山环境保护与治理法规体系及监督管理体制，全面落实矿山地质环境保护与治理恢复责任机制。强化矿业权人主体责任，加强对矿山环境保护与治理规划执行情况的监督管理，新建矿山必须达到绿色矿山标准，生产矿山必须依法履行矿山地质环境保护与土地复垦义务，废弃矿山完善市场化、多元化补偿机制，使矿山地质环境全面提升。到2025年，完成2013-2017 年关停露天开采矿山地质环境治理14处。</w:t>
      </w:r>
    </w:p>
    <w:p>
      <w:pPr>
        <w:widowControl w:val="0"/>
        <w:spacing w:line="560" w:lineRule="exact"/>
        <w:ind w:firstLine="562" w:firstLineChars="200"/>
        <w:jc w:val="both"/>
        <w:rPr>
          <w:rFonts w:eastAsia="仿宋_GB2312"/>
          <w:b/>
          <w:bCs/>
          <w:color w:val="auto"/>
          <w:sz w:val="28"/>
          <w:szCs w:val="28"/>
        </w:rPr>
      </w:pPr>
      <w:r>
        <w:rPr>
          <w:rFonts w:eastAsia="仿宋_GB2312"/>
          <w:b/>
          <w:bCs/>
          <w:color w:val="auto"/>
          <w:sz w:val="28"/>
          <w:szCs w:val="28"/>
        </w:rPr>
        <w:t>3.展望目标</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到2035年，城市经济实力、科技实力、综合实力大幅跃升，城市风貌景观特色鲜明，人与自然和谐相处，城市发展进入全面精致的崭新阶段。全市矿产资源勘查开发保护布局和矿业结构更加优化，矿产资源开发利用效率、综合利用水平和深加工能力达到先进水平。矿产资源开发的规模化、集约化程度更进一步提高；矿产资源开发秩序全面规范化。绿色、安全、创新、协调的矿产资源保障体系基本建立。</w:t>
      </w:r>
    </w:p>
    <w:p>
      <w:pPr>
        <w:widowControl w:val="0"/>
        <w:spacing w:line="540" w:lineRule="exact"/>
        <w:ind w:firstLine="560" w:firstLineChars="200"/>
        <w:jc w:val="both"/>
        <w:rPr>
          <w:rFonts w:eastAsia="仿宋_GB2312"/>
          <w:color w:val="auto"/>
          <w:kern w:val="2"/>
          <w:sz w:val="28"/>
          <w:szCs w:val="28"/>
        </w:rPr>
        <w:sectPr>
          <w:pgSz w:w="11906" w:h="16838"/>
          <w:pgMar w:top="1440" w:right="1588" w:bottom="1440" w:left="1644" w:header="709" w:footer="709" w:gutter="0"/>
          <w:cols w:space="708" w:num="1"/>
          <w:docGrid w:linePitch="360" w:charSpace="0"/>
        </w:sectPr>
      </w:pPr>
    </w:p>
    <w:p>
      <w:pPr>
        <w:pStyle w:val="2"/>
        <w:widowControl w:val="0"/>
        <w:spacing w:before="360" w:after="360" w:line="360" w:lineRule="auto"/>
        <w:ind w:firstLine="640" w:firstLineChars="200"/>
        <w:jc w:val="both"/>
        <w:rPr>
          <w:rFonts w:ascii="黑体" w:hAnsi="黑体" w:eastAsia="黑体" w:cs="黑体"/>
          <w:b w:val="0"/>
          <w:bCs w:val="0"/>
          <w:color w:val="auto"/>
          <w:kern w:val="2"/>
          <w:sz w:val="32"/>
          <w:szCs w:val="32"/>
        </w:rPr>
      </w:pPr>
      <w:bookmarkStart w:id="22" w:name="_Toc79415218"/>
      <w:bookmarkStart w:id="23" w:name="_Toc455576694"/>
      <w:r>
        <w:rPr>
          <w:rFonts w:hint="eastAsia" w:ascii="黑体" w:hAnsi="黑体" w:eastAsia="黑体" w:cs="黑体"/>
          <w:b w:val="0"/>
          <w:bCs w:val="0"/>
          <w:color w:val="auto"/>
          <w:kern w:val="2"/>
          <w:sz w:val="32"/>
          <w:szCs w:val="32"/>
        </w:rPr>
        <w:t>三、矿产勘查开发与保护布局</w:t>
      </w:r>
      <w:bookmarkEnd w:id="22"/>
      <w:bookmarkEnd w:id="23"/>
    </w:p>
    <w:p>
      <w:pPr>
        <w:widowControl w:val="0"/>
        <w:spacing w:line="540" w:lineRule="exact"/>
        <w:ind w:firstLine="560" w:firstLineChars="200"/>
        <w:jc w:val="both"/>
        <w:rPr>
          <w:rFonts w:eastAsia="仿宋_GB2312"/>
          <w:color w:val="auto"/>
          <w:kern w:val="2"/>
          <w:sz w:val="28"/>
          <w:szCs w:val="28"/>
        </w:rPr>
      </w:pPr>
      <w:bookmarkStart w:id="24" w:name="_Toc455576695"/>
      <w:r>
        <w:rPr>
          <w:rFonts w:hint="eastAsia" w:eastAsia="仿宋_GB2312"/>
          <w:color w:val="auto"/>
          <w:kern w:val="2"/>
          <w:sz w:val="28"/>
          <w:szCs w:val="28"/>
        </w:rPr>
        <w:t>落实《威海市国民经济和社会发展第十四个五年规划和二</w:t>
      </w:r>
      <w:r>
        <w:rPr>
          <w:rFonts w:hint="eastAsia" w:ascii="宋体" w:hAnsi="宋体" w:cs="宋体"/>
          <w:color w:val="auto"/>
          <w:kern w:val="2"/>
          <w:sz w:val="28"/>
          <w:szCs w:val="28"/>
        </w:rPr>
        <w:t>〇</w:t>
      </w:r>
      <w:r>
        <w:rPr>
          <w:rFonts w:hint="eastAsia" w:ascii="仿宋_GB2312" w:hAnsi="仿宋_GB2312" w:eastAsia="仿宋_GB2312" w:cs="仿宋_GB2312"/>
          <w:color w:val="auto"/>
          <w:kern w:val="2"/>
          <w:sz w:val="28"/>
          <w:szCs w:val="28"/>
        </w:rPr>
        <w:t>三五年远景目标纲要》确定的</w:t>
      </w:r>
      <w:r>
        <w:rPr>
          <w:rFonts w:hint="eastAsia" w:eastAsia="仿宋_GB2312"/>
          <w:color w:val="auto"/>
          <w:kern w:val="2"/>
          <w:sz w:val="28"/>
          <w:szCs w:val="28"/>
        </w:rPr>
        <w:t>“</w:t>
      </w:r>
      <w:r>
        <w:rPr>
          <w:rFonts w:hint="eastAsia" w:ascii="仿宋_GB2312" w:hAnsi="仿宋_GB2312" w:eastAsia="仿宋_GB2312" w:cs="仿宋_GB2312"/>
          <w:color w:val="auto"/>
          <w:kern w:val="2"/>
          <w:sz w:val="28"/>
          <w:szCs w:val="28"/>
        </w:rPr>
        <w:t>统筹区域一体化发展，打造精致城市典范”</w:t>
      </w:r>
      <w:r>
        <w:rPr>
          <w:rFonts w:hint="eastAsia" w:eastAsia="仿宋_GB2312"/>
          <w:color w:val="auto"/>
          <w:kern w:val="2"/>
          <w:sz w:val="28"/>
          <w:szCs w:val="28"/>
        </w:rPr>
        <w:t>主要任务，推进胶东经济圈一体化协同发展。落实省规划布局，根据威海市区域成矿地质条件、资源分布特点，统筹威海市矿产资源勘查开发与保护布局，优化本区优势矿产开发与资源产业布局。</w:t>
      </w:r>
    </w:p>
    <w:p>
      <w:pPr>
        <w:pStyle w:val="3"/>
        <w:widowControl w:val="0"/>
        <w:ind w:firstLine="602" w:firstLineChars="200"/>
        <w:rPr>
          <w:rFonts w:ascii="楷体" w:hAnsi="楷体" w:eastAsia="楷体" w:cs="楷体"/>
          <w:bCs w:val="0"/>
          <w:color w:val="auto"/>
          <w:kern w:val="2"/>
          <w:sz w:val="30"/>
          <w:szCs w:val="30"/>
        </w:rPr>
      </w:pPr>
      <w:bookmarkStart w:id="25" w:name="_Toc79415219"/>
      <w:r>
        <w:rPr>
          <w:rFonts w:ascii="楷体" w:hAnsi="楷体" w:eastAsia="楷体" w:cs="楷体"/>
          <w:bCs w:val="0"/>
          <w:color w:val="auto"/>
          <w:kern w:val="2"/>
          <w:sz w:val="30"/>
          <w:szCs w:val="30"/>
        </w:rPr>
        <w:t>（一）矿产资源勘查开</w:t>
      </w:r>
      <w:bookmarkEnd w:id="24"/>
      <w:r>
        <w:rPr>
          <w:rFonts w:hint="eastAsia" w:ascii="楷体" w:hAnsi="楷体" w:eastAsia="楷体" w:cs="楷体"/>
          <w:bCs w:val="0"/>
          <w:color w:val="auto"/>
          <w:kern w:val="2"/>
          <w:sz w:val="30"/>
          <w:szCs w:val="30"/>
        </w:rPr>
        <w:t>采</w:t>
      </w:r>
      <w:r>
        <w:rPr>
          <w:rFonts w:ascii="楷体" w:hAnsi="楷体" w:eastAsia="楷体" w:cs="楷体"/>
          <w:bCs w:val="0"/>
          <w:color w:val="auto"/>
          <w:kern w:val="2"/>
          <w:sz w:val="30"/>
          <w:szCs w:val="30"/>
        </w:rPr>
        <w:t>调控方向</w:t>
      </w:r>
      <w:bookmarkEnd w:id="25"/>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落实省规划管控要求，结合我市实际，确定我市重点、限制和禁止勘查开采的矿种。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1.重点勘查开采矿种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重点勘查矿种：地热、金、铁、饰面用花岗岩、矿泉水等。</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重点开采矿种：石墨、地热、金、铁、矿泉水、饰面用花岗岩、建筑用花岗岩、建筑用安山岩、建筑用砂等。</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2.限制勘查开采矿种：无。</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3.禁止勘查开采矿种：砂金。</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重点勘查开采矿种加强财政投入，提供更多基础地质资源信息；加强矿业权投放，促进多渠道社会资本投入勘查开采；严格矿业权人准入条件，提升勘查开采质量和水平。</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金矿：促进社会资本投入勘查开采，绿色勘查、开采贯穿始终。禁止在生态红线区、城镇规划区勘查开采，在保护永久基本农田的同时，做好战略性矿产金矿产资源勘查和开发利用；勘查程度达到详查以上、须满足最低开采规模、最低服务年限要求，方可开采准入。</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地热：政府引导，市场运作，规范开采，统一规划。不超过地热田资源承载能力，合理开采、综合利用，必须满足最低开采规模要求，凭取水许可证办理采矿许可证，二证用水规模严格一致。</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饰面用花岗岩：禁止在生态红线区、城镇建设规划区和永久基本农田保护区勘查开采。对已设采矿权积极推进绿色矿山、和谐矿区建设，切实转变资源开发利用方式，统筹好生态、矿产、土地等各类效益，淘汰落后生产工艺，坚决树立绿色发展、保护环境、整合资源、规模化生产的行业旗帜，达到资源开采与环境保护共赢；满足最低开采规模、最低服务年限要求，方可开采准入。</w:t>
      </w:r>
    </w:p>
    <w:p>
      <w:pPr>
        <w:widowControl w:val="0"/>
        <w:spacing w:line="540" w:lineRule="exact"/>
        <w:ind w:firstLine="560" w:firstLineChars="200"/>
        <w:jc w:val="both"/>
        <w:rPr>
          <w:rFonts w:eastAsia="仿宋_GB2312"/>
          <w:color w:val="auto"/>
          <w:kern w:val="2"/>
          <w:sz w:val="28"/>
          <w:szCs w:val="28"/>
        </w:rPr>
      </w:pPr>
      <w:r>
        <w:rPr>
          <w:rFonts w:eastAsia="仿宋_GB2312"/>
          <w:color w:val="auto"/>
          <w:kern w:val="2"/>
          <w:sz w:val="28"/>
          <w:szCs w:val="28"/>
        </w:rPr>
        <w:t>建筑用花岗岩</w:t>
      </w:r>
      <w:r>
        <w:rPr>
          <w:rFonts w:hint="eastAsia" w:eastAsia="仿宋_GB2312"/>
          <w:color w:val="auto"/>
          <w:kern w:val="2"/>
          <w:sz w:val="28"/>
          <w:szCs w:val="28"/>
        </w:rPr>
        <w:t>：突出生态保护优先，禁止在生态红线区、城镇规划区和永久基本农田保护区内设立砂石资源采矿权，全面构建绿色开发模式，将砂石资源开发控制在环境承载能力之内。采用先进的工艺技术与装备，做到绿色开采、绿色生产、绿色存贮、绿色运输，贯彻“边开采、边恢复、边治理”的原则，严格执行矿山地质环境保护与土地复垦方案。重点保障威海市内基础设施建设和相关产业发展对建筑用石料等资源的需求，推进建筑用资源的集约化、规模化、产业化开发利用；严格最低开采规模、最低服务年限准入要求。</w:t>
      </w:r>
    </w:p>
    <w:p>
      <w:pPr>
        <w:pStyle w:val="3"/>
        <w:widowControl w:val="0"/>
        <w:ind w:firstLine="602" w:firstLineChars="200"/>
        <w:rPr>
          <w:rFonts w:ascii="楷体" w:hAnsi="楷体" w:eastAsia="楷体" w:cs="楷体"/>
          <w:bCs w:val="0"/>
          <w:color w:val="auto"/>
          <w:kern w:val="2"/>
          <w:sz w:val="30"/>
          <w:szCs w:val="30"/>
        </w:rPr>
      </w:pPr>
      <w:bookmarkStart w:id="26" w:name="_Toc79415220"/>
      <w:r>
        <w:rPr>
          <w:rFonts w:ascii="楷体" w:hAnsi="楷体" w:eastAsia="楷体" w:cs="楷体"/>
          <w:bCs w:val="0"/>
          <w:color w:val="auto"/>
          <w:kern w:val="2"/>
          <w:sz w:val="30"/>
          <w:szCs w:val="30"/>
        </w:rPr>
        <w:t>（二）矿产资源产业重点发展区域</w:t>
      </w:r>
      <w:bookmarkEnd w:id="26"/>
    </w:p>
    <w:p>
      <w:pPr>
        <w:widowControl w:val="0"/>
        <w:spacing w:line="540" w:lineRule="exact"/>
        <w:ind w:firstLine="560" w:firstLineChars="200"/>
        <w:jc w:val="both"/>
        <w:rPr>
          <w:rFonts w:eastAsia="仿宋_GB2312"/>
          <w:color w:val="auto"/>
          <w:kern w:val="2"/>
          <w:sz w:val="28"/>
          <w:szCs w:val="28"/>
        </w:rPr>
      </w:pPr>
      <w:r>
        <w:rPr>
          <w:rFonts w:eastAsia="仿宋_GB2312"/>
          <w:color w:val="auto"/>
          <w:kern w:val="2"/>
          <w:sz w:val="28"/>
          <w:szCs w:val="28"/>
        </w:rPr>
        <w:t>按照“统筹规划、因地制宜、发挥优势、突出重点、规模开发、集约利用”的原则，根据矿产资源区域分布特点、矿业</w:t>
      </w:r>
      <w:bookmarkStart w:id="61" w:name="_GoBack"/>
      <w:bookmarkEnd w:id="61"/>
      <w:r>
        <w:rPr>
          <w:rFonts w:eastAsia="仿宋_GB2312"/>
          <w:color w:val="auto"/>
          <w:kern w:val="2"/>
          <w:sz w:val="28"/>
          <w:szCs w:val="28"/>
        </w:rPr>
        <w:t>生产力发展现状和经济社会发展需求等，重点发展地热资源、金矿资源、饰面石材资源</w:t>
      </w:r>
      <w:r>
        <w:rPr>
          <w:rFonts w:hint="eastAsia" w:eastAsia="仿宋_GB2312"/>
          <w:color w:val="auto"/>
          <w:kern w:val="2"/>
          <w:sz w:val="28"/>
          <w:szCs w:val="28"/>
        </w:rPr>
        <w:t>的勘查开发</w:t>
      </w:r>
      <w:r>
        <w:rPr>
          <w:rFonts w:eastAsia="仿宋_GB2312"/>
          <w:color w:val="auto"/>
          <w:kern w:val="2"/>
          <w:sz w:val="28"/>
          <w:szCs w:val="28"/>
        </w:rPr>
        <w:t>。</w:t>
      </w:r>
    </w:p>
    <w:p>
      <w:pPr>
        <w:widowControl w:val="0"/>
        <w:spacing w:line="560" w:lineRule="exact"/>
        <w:ind w:firstLine="562" w:firstLineChars="200"/>
        <w:jc w:val="both"/>
        <w:rPr>
          <w:rFonts w:eastAsia="仿宋_GB2312"/>
          <w:b/>
          <w:bCs/>
          <w:color w:val="auto"/>
          <w:sz w:val="28"/>
          <w:szCs w:val="28"/>
        </w:rPr>
      </w:pPr>
      <w:r>
        <w:rPr>
          <w:rFonts w:hint="eastAsia" w:eastAsia="仿宋_GB2312"/>
          <w:b/>
          <w:bCs/>
          <w:color w:val="auto"/>
          <w:sz w:val="28"/>
          <w:szCs w:val="28"/>
        </w:rPr>
        <w:t>1.</w:t>
      </w:r>
      <w:r>
        <w:rPr>
          <w:rFonts w:eastAsia="仿宋_GB2312"/>
          <w:b/>
          <w:bCs/>
          <w:color w:val="auto"/>
          <w:sz w:val="28"/>
          <w:szCs w:val="28"/>
        </w:rPr>
        <w:t>地热资源勘查开发</w:t>
      </w:r>
      <w:r>
        <w:rPr>
          <w:rFonts w:hint="eastAsia" w:eastAsia="仿宋_GB2312"/>
          <w:b/>
          <w:bCs/>
          <w:color w:val="auto"/>
          <w:sz w:val="28"/>
          <w:szCs w:val="28"/>
        </w:rPr>
        <w:t>区</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主要分布在</w:t>
      </w:r>
      <w:r>
        <w:rPr>
          <w:rFonts w:hint="eastAsia" w:eastAsia="仿宋_GB2312"/>
          <w:bCs/>
          <w:color w:val="auto"/>
          <w:sz w:val="28"/>
          <w:szCs w:val="28"/>
        </w:rPr>
        <w:t>文登区、环翠区，服务于温泉</w:t>
      </w:r>
      <w:r>
        <w:rPr>
          <w:rFonts w:hint="eastAsia" w:eastAsia="仿宋_GB2312"/>
          <w:color w:val="auto"/>
          <w:kern w:val="2"/>
          <w:sz w:val="28"/>
          <w:szCs w:val="28"/>
        </w:rPr>
        <w:t>洗浴，促进旅游、康养业发展。对位置优越、勘查程度较高、开发利用程度较高的环翠区宝泉汤、温泉汤、洪水岚汤地热田的承载能力做出科学评估，核定最大允许开采量，合理科学开采，实现资源可持续利用。继续对开发潜力较大的文登区七里汤、呼雷汤、大英汤、汤村汤及乳山小汤等地热田进行地热资源的可行性勘查工作，查明地热田的控矿构造及其规模、展布方向、影响范围，掌握地热田的最大允许开采量及其补给保证能力；积极开展地热异常区域预可行性勘查工作。同时开展深部热源聚集区地热资源调查，开展文登—荣成—威海硅热流异常区干热岩、深部地温场特征及深部地热资源潜力调查，探索干热岩开发利用技术。</w:t>
      </w:r>
    </w:p>
    <w:p>
      <w:pPr>
        <w:widowControl w:val="0"/>
        <w:spacing w:line="560" w:lineRule="exact"/>
        <w:ind w:firstLine="562" w:firstLineChars="200"/>
        <w:jc w:val="both"/>
        <w:rPr>
          <w:rFonts w:eastAsia="仿宋_GB2312"/>
          <w:b/>
          <w:bCs/>
          <w:color w:val="auto"/>
          <w:sz w:val="28"/>
          <w:szCs w:val="28"/>
        </w:rPr>
      </w:pPr>
      <w:r>
        <w:rPr>
          <w:rFonts w:hint="eastAsia" w:eastAsia="仿宋_GB2312"/>
          <w:b/>
          <w:bCs/>
          <w:color w:val="auto"/>
          <w:sz w:val="28"/>
          <w:szCs w:val="28"/>
        </w:rPr>
        <w:t>2.</w:t>
      </w:r>
      <w:r>
        <w:rPr>
          <w:rFonts w:eastAsia="仿宋_GB2312"/>
          <w:b/>
          <w:bCs/>
          <w:color w:val="auto"/>
          <w:sz w:val="28"/>
          <w:szCs w:val="28"/>
        </w:rPr>
        <w:t>金矿资源</w:t>
      </w:r>
      <w:r>
        <w:rPr>
          <w:rFonts w:hint="eastAsia" w:eastAsia="仿宋_GB2312"/>
          <w:b/>
          <w:bCs/>
          <w:color w:val="auto"/>
          <w:sz w:val="28"/>
          <w:szCs w:val="28"/>
        </w:rPr>
        <w:t>勘查</w:t>
      </w:r>
      <w:r>
        <w:rPr>
          <w:rFonts w:eastAsia="仿宋_GB2312"/>
          <w:b/>
          <w:bCs/>
          <w:color w:val="auto"/>
          <w:sz w:val="28"/>
          <w:szCs w:val="28"/>
        </w:rPr>
        <w:t>开发</w:t>
      </w:r>
    </w:p>
    <w:p>
      <w:pPr>
        <w:widowControl w:val="0"/>
        <w:spacing w:line="540" w:lineRule="exact"/>
        <w:ind w:firstLine="560" w:firstLineChars="200"/>
        <w:jc w:val="both"/>
        <w:rPr>
          <w:rFonts w:eastAsia="仿宋_GB2312"/>
          <w:color w:val="auto"/>
          <w:kern w:val="2"/>
          <w:sz w:val="28"/>
          <w:szCs w:val="28"/>
        </w:rPr>
      </w:pPr>
      <w:r>
        <w:rPr>
          <w:rFonts w:eastAsia="仿宋_GB2312"/>
          <w:color w:val="auto"/>
          <w:kern w:val="2"/>
          <w:sz w:val="28"/>
          <w:szCs w:val="28"/>
        </w:rPr>
        <w:t>主要分布在</w:t>
      </w:r>
      <w:r>
        <w:rPr>
          <w:rFonts w:eastAsia="仿宋_GB2312"/>
          <w:bCs/>
          <w:color w:val="auto"/>
          <w:sz w:val="28"/>
          <w:szCs w:val="28"/>
        </w:rPr>
        <w:t>乳山市北部</w:t>
      </w:r>
      <w:r>
        <w:rPr>
          <w:rFonts w:hint="eastAsia" w:eastAsia="仿宋_GB2312"/>
          <w:bCs/>
          <w:color w:val="auto"/>
          <w:sz w:val="28"/>
          <w:szCs w:val="28"/>
        </w:rPr>
        <w:t>、</w:t>
      </w:r>
      <w:r>
        <w:rPr>
          <w:rFonts w:eastAsia="仿宋_GB2312"/>
          <w:bCs/>
          <w:color w:val="auto"/>
          <w:sz w:val="28"/>
          <w:szCs w:val="28"/>
        </w:rPr>
        <w:t>西部一带</w:t>
      </w:r>
      <w:r>
        <w:rPr>
          <w:rFonts w:hint="eastAsia" w:eastAsia="仿宋_GB2312"/>
          <w:bCs/>
          <w:color w:val="auto"/>
          <w:sz w:val="28"/>
          <w:szCs w:val="28"/>
        </w:rPr>
        <w:t>，</w:t>
      </w:r>
      <w:r>
        <w:rPr>
          <w:rFonts w:hint="eastAsia" w:eastAsia="仿宋_GB2312"/>
          <w:color w:val="auto"/>
          <w:kern w:val="2"/>
          <w:sz w:val="28"/>
          <w:szCs w:val="28"/>
        </w:rPr>
        <w:t>服务于</w:t>
      </w:r>
      <w:r>
        <w:rPr>
          <w:rFonts w:eastAsia="仿宋_GB2312"/>
          <w:color w:val="auto"/>
          <w:kern w:val="2"/>
          <w:sz w:val="28"/>
          <w:szCs w:val="28"/>
        </w:rPr>
        <w:t>胶东经济圈</w:t>
      </w:r>
      <w:r>
        <w:rPr>
          <w:rFonts w:hint="eastAsia" w:eastAsia="仿宋_GB2312"/>
          <w:color w:val="auto"/>
          <w:kern w:val="2"/>
          <w:sz w:val="28"/>
          <w:szCs w:val="28"/>
        </w:rPr>
        <w:t>一体化</w:t>
      </w:r>
      <w:r>
        <w:rPr>
          <w:rFonts w:eastAsia="仿宋_GB2312"/>
          <w:color w:val="auto"/>
          <w:kern w:val="2"/>
          <w:sz w:val="28"/>
          <w:szCs w:val="28"/>
        </w:rPr>
        <w:t>发展</w:t>
      </w:r>
      <w:r>
        <w:rPr>
          <w:rFonts w:hint="eastAsia" w:eastAsia="仿宋_GB2312"/>
          <w:color w:val="auto"/>
          <w:kern w:val="2"/>
          <w:sz w:val="28"/>
          <w:szCs w:val="28"/>
        </w:rPr>
        <w:t>。围绕牟平—乳山成矿带</w:t>
      </w:r>
      <w:r>
        <w:rPr>
          <w:rFonts w:eastAsia="仿宋_GB2312"/>
          <w:color w:val="auto"/>
          <w:kern w:val="2"/>
          <w:sz w:val="28"/>
          <w:szCs w:val="28"/>
        </w:rPr>
        <w:t>，“攻深找盲”开展矿山外围及深部找矿，争取新增资源储量</w:t>
      </w:r>
      <w:r>
        <w:rPr>
          <w:rFonts w:hint="eastAsia" w:eastAsia="仿宋_GB2312"/>
          <w:color w:val="auto"/>
          <w:kern w:val="2"/>
          <w:sz w:val="28"/>
          <w:szCs w:val="28"/>
        </w:rPr>
        <w:t>。积极联合国内外院校、科研机构和企业，强化引技引智，积极引进先进技术装备和高端人才，加强新设备、新技术和管理经验的引进和应用，</w:t>
      </w:r>
      <w:r>
        <w:rPr>
          <w:rFonts w:eastAsia="仿宋_GB2312"/>
          <w:color w:val="auto"/>
          <w:kern w:val="2"/>
          <w:sz w:val="28"/>
          <w:szCs w:val="28"/>
        </w:rPr>
        <w:t>挖掘金矿生产潜力，加快产业技术改造；提高矿产资源综合利用和深加工水平，适度加快金矿精炼和金银饰品、工艺品的发展速度</w:t>
      </w:r>
      <w:r>
        <w:rPr>
          <w:rFonts w:hint="eastAsia" w:eastAsia="仿宋_GB2312"/>
          <w:color w:val="auto"/>
          <w:kern w:val="2"/>
          <w:sz w:val="28"/>
          <w:szCs w:val="28"/>
        </w:rPr>
        <w:t>，</w:t>
      </w:r>
      <w:r>
        <w:rPr>
          <w:rFonts w:eastAsia="仿宋_GB2312"/>
          <w:color w:val="auto"/>
          <w:kern w:val="2"/>
          <w:sz w:val="28"/>
          <w:szCs w:val="28"/>
        </w:rPr>
        <w:t>逐步形成集金矿产开发与冶炼加工于一体的加工产业带</w:t>
      </w:r>
      <w:r>
        <w:rPr>
          <w:rFonts w:hint="eastAsia" w:eastAsia="仿宋_GB2312"/>
          <w:color w:val="auto"/>
          <w:kern w:val="2"/>
          <w:sz w:val="28"/>
          <w:szCs w:val="28"/>
        </w:rPr>
        <w:t>，全面提升矿山资源开发利用水平。</w:t>
      </w:r>
    </w:p>
    <w:p>
      <w:pPr>
        <w:widowControl w:val="0"/>
        <w:spacing w:line="560" w:lineRule="exact"/>
        <w:ind w:firstLine="562" w:firstLineChars="200"/>
        <w:jc w:val="both"/>
        <w:rPr>
          <w:rFonts w:eastAsia="仿宋_GB2312"/>
          <w:b/>
          <w:bCs/>
          <w:color w:val="auto"/>
          <w:sz w:val="28"/>
          <w:szCs w:val="28"/>
        </w:rPr>
      </w:pPr>
      <w:r>
        <w:rPr>
          <w:rFonts w:hint="eastAsia" w:eastAsia="仿宋_GB2312"/>
          <w:b/>
          <w:bCs/>
          <w:color w:val="auto"/>
          <w:sz w:val="28"/>
          <w:szCs w:val="28"/>
        </w:rPr>
        <w:t>3.</w:t>
      </w:r>
      <w:r>
        <w:rPr>
          <w:rFonts w:eastAsia="仿宋_GB2312"/>
          <w:b/>
          <w:bCs/>
          <w:color w:val="auto"/>
          <w:sz w:val="28"/>
          <w:szCs w:val="28"/>
        </w:rPr>
        <w:t>饰面石材资源开发区</w:t>
      </w:r>
    </w:p>
    <w:p>
      <w:pPr>
        <w:widowControl w:val="0"/>
        <w:spacing w:line="540" w:lineRule="exact"/>
        <w:ind w:firstLine="560" w:firstLineChars="200"/>
        <w:jc w:val="both"/>
        <w:rPr>
          <w:rFonts w:eastAsia="仿宋_GB2312"/>
          <w:color w:val="auto"/>
          <w:kern w:val="2"/>
          <w:sz w:val="28"/>
          <w:szCs w:val="28"/>
        </w:rPr>
      </w:pPr>
      <w:r>
        <w:rPr>
          <w:rFonts w:eastAsia="仿宋_GB2312"/>
          <w:color w:val="auto"/>
          <w:kern w:val="2"/>
          <w:sz w:val="28"/>
          <w:szCs w:val="28"/>
        </w:rPr>
        <w:t>主要</w:t>
      </w:r>
      <w:r>
        <w:rPr>
          <w:rFonts w:hint="eastAsia" w:eastAsia="仿宋_GB2312"/>
          <w:color w:val="auto"/>
          <w:kern w:val="2"/>
          <w:sz w:val="28"/>
          <w:szCs w:val="28"/>
        </w:rPr>
        <w:t>分布在文登区的界石、葛家镇，</w:t>
      </w:r>
      <w:r>
        <w:rPr>
          <w:rFonts w:eastAsia="仿宋_GB2312"/>
          <w:color w:val="auto"/>
          <w:kern w:val="2"/>
          <w:sz w:val="28"/>
          <w:szCs w:val="28"/>
        </w:rPr>
        <w:t>荣成市的东山</w:t>
      </w:r>
      <w:r>
        <w:rPr>
          <w:rFonts w:hint="eastAsia" w:eastAsia="仿宋_GB2312"/>
          <w:color w:val="auto"/>
          <w:kern w:val="2"/>
          <w:sz w:val="28"/>
          <w:szCs w:val="28"/>
        </w:rPr>
        <w:t>、</w:t>
      </w:r>
      <w:r>
        <w:rPr>
          <w:rFonts w:eastAsia="仿宋_GB2312"/>
          <w:color w:val="auto"/>
          <w:kern w:val="2"/>
          <w:sz w:val="28"/>
          <w:szCs w:val="28"/>
        </w:rPr>
        <w:t>宁津街道办和人和镇</w:t>
      </w:r>
      <w:r>
        <w:rPr>
          <w:rFonts w:hint="eastAsia" w:eastAsia="仿宋_GB2312"/>
          <w:color w:val="auto"/>
          <w:kern w:val="2"/>
          <w:sz w:val="28"/>
          <w:szCs w:val="28"/>
        </w:rPr>
        <w:t>，乳山市的白沙滩、冯家等镇，</w:t>
      </w:r>
      <w:r>
        <w:rPr>
          <w:rFonts w:eastAsia="仿宋_GB2312"/>
          <w:color w:val="auto"/>
          <w:kern w:val="2"/>
          <w:sz w:val="28"/>
          <w:szCs w:val="28"/>
        </w:rPr>
        <w:t>区内饰面用花岗岩资源丰富，优势特色品种市场占有率高</w:t>
      </w:r>
      <w:r>
        <w:rPr>
          <w:rFonts w:hint="eastAsia" w:eastAsia="仿宋_GB2312"/>
          <w:color w:val="auto"/>
          <w:kern w:val="2"/>
          <w:sz w:val="28"/>
          <w:szCs w:val="28"/>
        </w:rPr>
        <w:t>，统筹生态红线区、城镇建设规划区、基本农田保护区和国家公益林等控制区域，合理规划开发布局，推进规模化、集约化开采，引导矿山企业进行生产要素重组，形成大型矿业集团，统一开发、统一经营、统一管理、集中深加工，提高资源开发、安全生产和经营管理水平，打造全产业链、全智能覆盖的矿山企业</w:t>
      </w:r>
      <w:r>
        <w:rPr>
          <w:rFonts w:eastAsia="仿宋_GB2312"/>
          <w:color w:val="auto"/>
          <w:kern w:val="2"/>
          <w:sz w:val="28"/>
          <w:szCs w:val="28"/>
        </w:rPr>
        <w:t>，建成以饰面用花岗岩综合开发为主的生产出口基地。</w:t>
      </w:r>
    </w:p>
    <w:p>
      <w:pPr>
        <w:widowControl w:val="0"/>
        <w:spacing w:line="540" w:lineRule="exact"/>
        <w:ind w:firstLine="560" w:firstLineChars="200"/>
        <w:jc w:val="both"/>
        <w:rPr>
          <w:rFonts w:eastAsia="仿宋_GB2312"/>
          <w:b/>
          <w:color w:val="auto"/>
          <w:kern w:val="2"/>
          <w:sz w:val="28"/>
          <w:szCs w:val="28"/>
        </w:rPr>
      </w:pPr>
      <w:r>
        <w:rPr>
          <w:rFonts w:hint="eastAsia" w:eastAsia="仿宋_GB2312"/>
          <w:color w:val="auto"/>
          <w:kern w:val="2"/>
          <w:sz w:val="28"/>
          <w:szCs w:val="28"/>
        </w:rPr>
        <w:t>4.</w:t>
      </w:r>
      <w:r>
        <w:rPr>
          <w:rFonts w:hint="eastAsia" w:eastAsia="仿宋_GB2312"/>
          <w:b/>
          <w:color w:val="auto"/>
          <w:kern w:val="2"/>
          <w:sz w:val="28"/>
          <w:szCs w:val="28"/>
        </w:rPr>
        <w:t>矿业结构调整与转型升级</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（1）调整资源开发利用结构。综合施策，促进矿业经济平稳发展。控制地热开采总量，适度扩大饰面石材和建筑用石料矿产开发规模，推进重要功能性非金属矿产高效利用，规范建材非金属资源集中管理。</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优化矿产开发区域布局。推动资源开发与区域发展、产业升级、环境保护、城乡建设相协调。推进功能性非金属矿产资源集中开发和有效保护。严格准入管理，强化环境保护。实行一个勘查开采规划区块一个主体，严禁将矿产地化大为小和分割出让，优化矿山布局。</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强化资源节约集约循环利用。严格矿产开发准入门槛，坚持矿山设计开采规模与矿区资源储量规模相适应的原则，严格执行矿山最低开采规模设计标准，严禁大矿小开、一矿多开；大力发展矿业领域循环经济，推动矿业企业形成减量化、再利用、资源化生产过程。</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4）大力推进矿业领域科技创新。加快矿山企业技术、工艺和装备改造。加快建设数字化、智能化、信息化、自动化矿山，大力发展“互联网+矿业”，促进企业组织结构和管理模式变革，加快传统矿业转型升级。积极联合国内外院校、科研机构和企业，强化引技引智，积极引进先进技术装备和高端人才，加强新设备、新技术和管理经验的引进和应用，促进产业结构调整和产品升级。</w:t>
      </w:r>
    </w:p>
    <w:p>
      <w:pPr>
        <w:pStyle w:val="3"/>
        <w:widowControl w:val="0"/>
        <w:ind w:firstLine="602" w:firstLineChars="200"/>
        <w:rPr>
          <w:rFonts w:ascii="楷体" w:hAnsi="楷体" w:eastAsia="楷体" w:cs="楷体"/>
          <w:bCs w:val="0"/>
          <w:color w:val="auto"/>
          <w:kern w:val="2"/>
          <w:sz w:val="30"/>
          <w:szCs w:val="30"/>
        </w:rPr>
      </w:pPr>
      <w:bookmarkStart w:id="27" w:name="_Toc79415221"/>
      <w:r>
        <w:rPr>
          <w:rFonts w:ascii="楷体" w:hAnsi="楷体" w:eastAsia="楷体" w:cs="楷体"/>
          <w:bCs w:val="0"/>
          <w:color w:val="auto"/>
          <w:kern w:val="2"/>
          <w:sz w:val="30"/>
          <w:szCs w:val="30"/>
        </w:rPr>
        <w:t>（三）勘查开采与保护布局</w:t>
      </w:r>
      <w:bookmarkEnd w:id="27"/>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落实部省级规划确定的规划分区，依据威海市矿产资源分布特点及勘查开发利用保护现状，优化威海市矿产资源勘查开采与保护布局。</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1.规划分区</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（1）国家规划矿区</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落实国家规划矿区1处：山东乳山金青顶-海阳辽上金矿国家规划矿区。行政区属烟台市-威海市，主要矿种金，总面积820.0平方千米，资源量315.05吨。</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严格落实省规划提出的管控措施。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（2）重点勘查区</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落实省规划重点勘查区2处：山东牟平—乳山金矿重点勘查区，行政区属烟台、威海，主攻矿种金，总面积335.6</w:t>
      </w:r>
      <w:r>
        <w:rPr>
          <w:rFonts w:eastAsia="仿宋_GB2312"/>
          <w:color w:val="auto"/>
          <w:kern w:val="2"/>
          <w:sz w:val="28"/>
          <w:szCs w:val="28"/>
        </w:rPr>
        <w:t>平方千米</w:t>
      </w:r>
      <w:r>
        <w:rPr>
          <w:rFonts w:hint="eastAsia" w:eastAsia="仿宋_GB2312"/>
          <w:color w:val="auto"/>
          <w:kern w:val="2"/>
          <w:sz w:val="28"/>
          <w:szCs w:val="28"/>
        </w:rPr>
        <w:t>；山东胶莱盆地东北缘金矿重点勘查区，行政区属烟台、威海，主攻矿种金，总面积118.2</w:t>
      </w:r>
      <w:r>
        <w:rPr>
          <w:rFonts w:eastAsia="仿宋_GB2312"/>
          <w:color w:val="auto"/>
          <w:kern w:val="2"/>
          <w:sz w:val="28"/>
          <w:szCs w:val="28"/>
        </w:rPr>
        <w:t>平方千米</w:t>
      </w:r>
      <w:r>
        <w:rPr>
          <w:rFonts w:hint="eastAsia" w:eastAsia="仿宋_GB2312"/>
          <w:color w:val="auto"/>
          <w:kern w:val="2"/>
          <w:sz w:val="28"/>
          <w:szCs w:val="28"/>
        </w:rPr>
        <w:t>。</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严格落实省规划提出的管控措施。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（3）重点开采区</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落实省规划重点开采区2处：山东乳山邓格庄金矿重点开采区，行政区属牟平、乳山，面积76.2平方千米，主要矿种金矿；山东海阳郭城-辽上金矿重点开采区，行政区属牟平、乳山，面积52.5平方千米，主要矿种金矿。</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严格落实省规划提出的管控措施。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2.勘查开采布局优化</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落实国土空间“三条控制线”和自然保护地管控要求，优化矿产资源勘查开发保护空间布局。</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金矿加强在成矿地质条件有利、找矿前景良好、已知矿区的深部和外围优先投放探矿权，进一步提升战略矿产金的资源保障能力。</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地热加强地热异常区域预可行性勘查工作。在明确地热田允许开采量的基础上，统筹地热资源开发布局，合理高效利用。</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饰面用花岗岩按照“整合利用、采治结合”的原则，优化布局，科学划定开采区。砂石资源坚持整体出让、整体开发的原则，对于已关闭、废弃或采矿权已灭失的采石场，原矿区范围或毗邻区域仍有资源的，优化开采布局，促进资源科学合理安全利用，促进矿山规模化、规范化和绿色发展，促使资源开发向效益型、集约式转变，形成开发科学、利用高效、生态良好的矿业开采区。</w:t>
      </w: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pStyle w:val="2"/>
        <w:widowControl w:val="0"/>
        <w:spacing w:before="360" w:after="360" w:line="360" w:lineRule="auto"/>
        <w:ind w:firstLine="640" w:firstLineChars="200"/>
        <w:jc w:val="both"/>
        <w:rPr>
          <w:rFonts w:ascii="黑体" w:hAnsi="黑体" w:eastAsia="黑体" w:cs="黑体"/>
          <w:b w:val="0"/>
          <w:bCs w:val="0"/>
          <w:color w:val="auto"/>
          <w:kern w:val="2"/>
          <w:sz w:val="32"/>
          <w:szCs w:val="32"/>
        </w:rPr>
      </w:pPr>
      <w:bookmarkStart w:id="28" w:name="_Toc79415222"/>
      <w:r>
        <w:rPr>
          <w:rFonts w:hint="eastAsia" w:ascii="黑体" w:hAnsi="黑体" w:eastAsia="黑体" w:cs="黑体"/>
          <w:b w:val="0"/>
          <w:bCs w:val="0"/>
          <w:color w:val="auto"/>
          <w:kern w:val="2"/>
          <w:sz w:val="32"/>
          <w:szCs w:val="32"/>
        </w:rPr>
        <w:t>四、矿产资源调查评价与勘查</w:t>
      </w:r>
      <w:bookmarkEnd w:id="28"/>
    </w:p>
    <w:p>
      <w:pPr>
        <w:pStyle w:val="3"/>
        <w:widowControl w:val="0"/>
        <w:ind w:firstLine="602" w:firstLineChars="200"/>
        <w:rPr>
          <w:rFonts w:ascii="楷体" w:hAnsi="楷体" w:eastAsia="楷体" w:cs="楷体"/>
          <w:bCs w:val="0"/>
          <w:color w:val="auto"/>
          <w:kern w:val="2"/>
          <w:sz w:val="30"/>
          <w:szCs w:val="30"/>
        </w:rPr>
      </w:pPr>
      <w:bookmarkStart w:id="29" w:name="_Toc79415223"/>
      <w:r>
        <w:rPr>
          <w:rFonts w:hint="eastAsia" w:ascii="楷体" w:hAnsi="楷体" w:eastAsia="楷体" w:cs="楷体"/>
          <w:bCs w:val="0"/>
          <w:color w:val="auto"/>
          <w:kern w:val="2"/>
          <w:sz w:val="30"/>
          <w:szCs w:val="30"/>
        </w:rPr>
        <w:t>（一）地质调查评价</w:t>
      </w:r>
      <w:bookmarkEnd w:id="29"/>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1.公益性地质工作</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开展威海市刘公岛及周边海域综合地质调查，建立海岛及周边海域三维地质模型及地质数据库，为刘公岛及周边海域资源开发与保护提供依据。开展山东省胶莱盆地东部海阳垛崮顶—乳山南地口地区金铅锌调查评价，圈定找矿靶区，对金及铅锌矿成矿远景作出评价。</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城市地质调查：围绕我市“中心崛起、两轴支撑、环海发展、一体化布局”以及中心城区“南北对接，西优东拓”的规划建设需求和影响城市发展的重大地质地质问题，开展地质资源、环境、空间等多要素城市综合地质调查；建立城市三维地质模型、地质环境监测预警网络、综合地质信息服务与决策支持平台，为国土空间规划、重大工程建设、地下空间开发、自然资源管理、生态环境保护和防灾减灾治灾提供数据支撑和服务。</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3.调查评价</w:t>
      </w:r>
    </w:p>
    <w:p>
      <w:pPr>
        <w:widowControl w:val="0"/>
        <w:spacing w:line="540" w:lineRule="exact"/>
        <w:ind w:firstLine="560" w:firstLineChars="200"/>
        <w:jc w:val="both"/>
        <w:rPr>
          <w:rFonts w:eastAsia="仿宋_GB2312"/>
          <w:color w:val="auto"/>
          <w:kern w:val="2"/>
          <w:sz w:val="28"/>
          <w:szCs w:val="28"/>
        </w:rPr>
      </w:pPr>
      <w:r>
        <w:rPr>
          <w:rFonts w:eastAsia="仿宋_GB2312"/>
          <w:color w:val="auto"/>
          <w:kern w:val="2"/>
          <w:sz w:val="28"/>
          <w:szCs w:val="28"/>
        </w:rPr>
        <w:t>落实省规划</w:t>
      </w:r>
      <w:r>
        <w:rPr>
          <w:rFonts w:hint="eastAsia" w:eastAsia="仿宋_GB2312"/>
          <w:color w:val="auto"/>
          <w:kern w:val="2"/>
          <w:sz w:val="28"/>
          <w:szCs w:val="28"/>
        </w:rPr>
        <w:t>“山东省牟平—乳山成矿带南段调查评价”，主攻矿种金，面积445.2平方千米；“山东省文登-荣成铜钼铅锌银矿调查评价区”，主攻矿种多金属，面积1054.9平方千米；圈定找矿靶区和新发现矿产地。</w:t>
      </w:r>
    </w:p>
    <w:p>
      <w:pPr>
        <w:pStyle w:val="3"/>
        <w:widowControl w:val="0"/>
        <w:ind w:firstLine="602" w:firstLineChars="200"/>
        <w:rPr>
          <w:rFonts w:ascii="楷体" w:hAnsi="楷体" w:eastAsia="楷体" w:cs="楷体"/>
          <w:bCs w:val="0"/>
          <w:color w:val="auto"/>
          <w:kern w:val="2"/>
          <w:sz w:val="30"/>
          <w:szCs w:val="30"/>
        </w:rPr>
      </w:pPr>
      <w:bookmarkStart w:id="30" w:name="_Toc79415224"/>
      <w:r>
        <w:rPr>
          <w:rFonts w:hint="eastAsia" w:ascii="楷体" w:hAnsi="楷体" w:eastAsia="楷体" w:cs="楷体"/>
          <w:bCs w:val="0"/>
          <w:color w:val="auto"/>
          <w:kern w:val="2"/>
          <w:sz w:val="30"/>
          <w:szCs w:val="30"/>
        </w:rPr>
        <w:t>（二）矿产资源勘查</w:t>
      </w:r>
      <w:bookmarkEnd w:id="30"/>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实施重点勘查区勘查工作，加强乳山地区牟平—乳山成矿带、矿集区矿山外围及深部找矿，争取新增资源量。开展山东省乳山市西井口断裂深部金矿普查，综合以往勘查研究成果，力争提交1处金矿产地。加强特色地热资源勘查，在“山东省文登—荣成—威海地区深部地热资源调查”成果的基础上，继续加大勘查力度，探索深部地热资源开发潜力和开发技术。</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严格执行绿色勘查规范，将绿色勘查融入日常工作，责任明确、管理措施到位。加强对绿色勘查工作动态监管，统筹兼顾勘查效益、生态环境效益和社会效益，最大限度减少矿产资源勘查对生态环境的扰动。</w:t>
      </w:r>
    </w:p>
    <w:p>
      <w:pPr>
        <w:pStyle w:val="3"/>
        <w:widowControl w:val="0"/>
        <w:ind w:firstLine="602" w:firstLineChars="200"/>
        <w:rPr>
          <w:rFonts w:ascii="楷体" w:hAnsi="楷体" w:eastAsia="楷体" w:cs="楷体"/>
          <w:bCs w:val="0"/>
          <w:color w:val="auto"/>
          <w:kern w:val="2"/>
          <w:sz w:val="30"/>
          <w:szCs w:val="30"/>
        </w:rPr>
      </w:pPr>
      <w:bookmarkStart w:id="31" w:name="_Toc79415225"/>
      <w:r>
        <w:rPr>
          <w:rFonts w:hint="eastAsia" w:ascii="楷体" w:hAnsi="楷体" w:eastAsia="楷体" w:cs="楷体"/>
          <w:bCs w:val="0"/>
          <w:color w:val="auto"/>
          <w:kern w:val="2"/>
          <w:sz w:val="30"/>
          <w:szCs w:val="30"/>
        </w:rPr>
        <w:t>（三）勘查规划区块</w:t>
      </w:r>
      <w:bookmarkEnd w:id="31"/>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1.勘查区块划定原则</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根据《山东省自然资源厅关于推进矿产资源管理改革若干事项的通知》（鲁自然资规〔2020〕2 号）矿产资源出让登记同级管理权限和《关于进一步规范矿业权出让管理的通知》（国土资发[2006]12号）矿产划分的相关规定，依据威海市资源赋存状况，地质构造条件和勘查程度等，合理划定威海市出让登记管理权限内地热、矿泉水的勘查规划区块。</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勘查规划区块要有利于矿区的整体勘查评价，单个勘查规划区块遵循排他性和统一性的原则，小于1个基本单位区块（含）的，原则上不单独划定勘查规划区块。</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2.勘查规划区块设置与投放</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拟设空白区新设勘查规划区块14个，其中落实省规划勘查规划区块8个，总面积218.6平方千米，按矿种分金7个、海砂1个。</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规划市级发证的</w:t>
      </w:r>
      <w:r>
        <w:rPr>
          <w:rFonts w:hint="eastAsia" w:eastAsia="仿宋_GB2312"/>
          <w:color w:val="auto"/>
          <w:kern w:val="2"/>
          <w:sz w:val="28"/>
          <w:szCs w:val="28"/>
        </w:rPr>
        <w:t>空白区新设</w:t>
      </w:r>
      <w:r>
        <w:rPr>
          <w:rFonts w:hint="eastAsia" w:eastAsia="仿宋_GB2312"/>
          <w:color w:val="auto"/>
          <w:kern w:val="2"/>
          <w:sz w:val="28"/>
          <w:szCs w:val="28"/>
        </w:rPr>
        <w:t>勘查规划区块6个，总面积28.9平方千米，</w:t>
      </w:r>
      <w:r>
        <w:rPr>
          <w:rFonts w:hint="eastAsia" w:eastAsia="仿宋_GB2312"/>
          <w:color w:val="auto"/>
          <w:kern w:val="2"/>
          <w:sz w:val="28"/>
          <w:szCs w:val="28"/>
        </w:rPr>
        <w:t>按矿种分</w:t>
      </w:r>
      <w:r>
        <w:rPr>
          <w:rFonts w:hint="eastAsia" w:eastAsia="仿宋_GB2312"/>
          <w:color w:val="auto"/>
          <w:kern w:val="2"/>
          <w:sz w:val="28"/>
          <w:szCs w:val="28"/>
        </w:rPr>
        <w:t>地热5个、矿泉水1个。</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勘查区块投放优先考虑重点勘查区内的投放。计划2022年拟投放5个，2023年拟投放2个，2024年拟投放3个，2025年拟投放4个。</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3.管理措施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勘查规划区块投放要与威海市国民经济社会发展相适应，结合矿业权市场需求，做到有序投放。一个勘查规划区块只设一个勘查主体，明确勘查周期。拟投放探矿权与勘查规划区块范围要一致，不得变更矿种。探矿权出让严格采取招标、拍卖、挂牌等市场竞争方式进行。严格探矿权出让交易监管，建立和完善勘查规划区块动态管理机制。</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按照同一矿种同级出让登记管理权限，省级发证矿种严格执行省规划勘查规划区块投放的管控措施。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4.勘查准入条件</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1）设立探矿权必须符合矿产资源规划、符合国家产业政策及生态环境保护等政策。</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2）探矿权申请人应是企业法人或事业单位法人。探矿权申请人不具备地质勘查能力的，应依法委托具有相应地质勘查能力的勘查单位开展地质勘查工作。</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探矿权申请人的资金能力必须与申请的勘查矿种、勘查面积和勘查工作阶段相适应，以提供的银行资金证明为依据，不得低于申请项目勘查实施方案安排的第一勘查年度资金投入额，同时不得低于申请项目勘查实施方案计划总投入的三分之一。</w:t>
      </w: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pStyle w:val="2"/>
        <w:widowControl w:val="0"/>
        <w:spacing w:before="360" w:after="360" w:line="360" w:lineRule="auto"/>
        <w:ind w:firstLine="640" w:firstLineChars="200"/>
        <w:jc w:val="both"/>
        <w:rPr>
          <w:rFonts w:ascii="黑体" w:hAnsi="黑体" w:eastAsia="黑体" w:cs="黑体"/>
          <w:b w:val="0"/>
          <w:bCs w:val="0"/>
          <w:color w:val="auto"/>
          <w:kern w:val="2"/>
          <w:sz w:val="32"/>
          <w:szCs w:val="32"/>
        </w:rPr>
      </w:pPr>
      <w:bookmarkStart w:id="32" w:name="_Toc79415226"/>
      <w:r>
        <w:rPr>
          <w:rFonts w:hint="eastAsia" w:ascii="黑体" w:hAnsi="黑体" w:eastAsia="黑体" w:cs="黑体"/>
          <w:b w:val="0"/>
          <w:bCs w:val="0"/>
          <w:color w:val="auto"/>
          <w:kern w:val="2"/>
          <w:sz w:val="32"/>
          <w:szCs w:val="32"/>
        </w:rPr>
        <w:t>五、矿产资源开发利用与保护</w:t>
      </w:r>
      <w:bookmarkEnd w:id="32"/>
    </w:p>
    <w:p>
      <w:pPr>
        <w:pStyle w:val="3"/>
        <w:widowControl w:val="0"/>
        <w:ind w:firstLine="602" w:firstLineChars="200"/>
        <w:rPr>
          <w:rFonts w:ascii="楷体" w:hAnsi="楷体" w:eastAsia="楷体" w:cs="楷体"/>
          <w:bCs w:val="0"/>
          <w:color w:val="auto"/>
          <w:kern w:val="2"/>
          <w:sz w:val="30"/>
          <w:szCs w:val="30"/>
        </w:rPr>
      </w:pPr>
      <w:bookmarkStart w:id="33" w:name="_Toc79415227"/>
      <w:r>
        <w:rPr>
          <w:rFonts w:hint="eastAsia" w:ascii="楷体" w:hAnsi="楷体" w:eastAsia="楷体" w:cs="楷体"/>
          <w:bCs w:val="0"/>
          <w:color w:val="auto"/>
          <w:kern w:val="2"/>
          <w:sz w:val="30"/>
          <w:szCs w:val="30"/>
        </w:rPr>
        <w:t>（一）合理确定开发强度</w:t>
      </w:r>
      <w:bookmarkEnd w:id="33"/>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根据威海市的资源特点，按照产能规模与市场需求基本适应的原则，合理调控矿产资源开采总量，推进矿产资源集约化、规模化开采；合理安排矿业权投放时序，有序引导矿山企业开发利用，规范开发利用秩序和促进产业转型升级；矿业权优先投向开展深加工的矿山企业，提升</w:t>
      </w:r>
      <w:r>
        <w:rPr>
          <w:rFonts w:eastAsia="仿宋_GB2312"/>
          <w:color w:val="auto"/>
          <w:kern w:val="2"/>
          <w:sz w:val="28"/>
          <w:szCs w:val="28"/>
        </w:rPr>
        <w:t>区域内矿产资源开发利用水平。</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开采总量调控主要为预期性指标。见专栏三。</w:t>
      </w:r>
    </w:p>
    <w:tbl>
      <w:tblPr>
        <w:tblStyle w:val="25"/>
        <w:tblW w:w="81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1"/>
        <w:gridCol w:w="1456"/>
        <w:gridCol w:w="1361"/>
        <w:gridCol w:w="1409"/>
        <w:gridCol w:w="2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8102" w:type="dxa"/>
            <w:gridSpan w:val="5"/>
            <w:shd w:val="clear" w:color="auto" w:fill="auto"/>
            <w:vAlign w:val="center"/>
          </w:tcPr>
          <w:p>
            <w:pPr>
              <w:snapToGrid w:val="0"/>
              <w:spacing w:beforeLines="50" w:line="360" w:lineRule="auto"/>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专栏三   市县发证矿种开采总量指标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1841"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矿种</w:t>
            </w:r>
          </w:p>
        </w:tc>
        <w:tc>
          <w:tcPr>
            <w:tcW w:w="1456"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单位</w:t>
            </w:r>
          </w:p>
        </w:tc>
        <w:tc>
          <w:tcPr>
            <w:tcW w:w="1361"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2025年</w:t>
            </w:r>
          </w:p>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年开采总量</w:t>
            </w: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县市（区）</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2025年各县市（区）分解量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地热</w:t>
            </w:r>
          </w:p>
        </w:tc>
        <w:tc>
          <w:tcPr>
            <w:tcW w:w="1456"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万立方米</w:t>
            </w:r>
          </w:p>
        </w:tc>
        <w:tc>
          <w:tcPr>
            <w:tcW w:w="1361"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150</w:t>
            </w: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环翠区</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56"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36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文登区</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56"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36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乳山市</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高岭土</w:t>
            </w:r>
          </w:p>
        </w:tc>
        <w:tc>
          <w:tcPr>
            <w:tcW w:w="1456"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矿石 万吨</w:t>
            </w:r>
          </w:p>
        </w:tc>
        <w:tc>
          <w:tcPr>
            <w:tcW w:w="1361"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5</w:t>
            </w: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文登区</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蛇纹岩</w:t>
            </w:r>
          </w:p>
        </w:tc>
        <w:tc>
          <w:tcPr>
            <w:tcW w:w="1456"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矿石 万吨</w:t>
            </w:r>
          </w:p>
        </w:tc>
        <w:tc>
          <w:tcPr>
            <w:tcW w:w="1361"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36</w:t>
            </w: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乳山市</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restart"/>
            <w:shd w:val="clear" w:color="auto" w:fill="auto"/>
            <w:vAlign w:val="center"/>
          </w:tcPr>
          <w:p>
            <w:pPr>
              <w:adjustRightInd w:val="0"/>
              <w:snapToGrid w:val="0"/>
              <w:jc w:val="center"/>
              <w:rPr>
                <w:rFonts w:asciiTheme="minorEastAsia" w:hAnsiTheme="minorEastAsia" w:eastAsiaTheme="minorEastAsia"/>
                <w:bCs/>
                <w:color w:val="auto"/>
                <w:spacing w:val="-20"/>
                <w:sz w:val="21"/>
                <w:szCs w:val="21"/>
              </w:rPr>
            </w:pPr>
            <w:r>
              <w:rPr>
                <w:rFonts w:hint="eastAsia" w:asciiTheme="minorEastAsia" w:hAnsiTheme="minorEastAsia" w:eastAsiaTheme="minorEastAsia"/>
                <w:bCs/>
                <w:color w:val="auto"/>
                <w:spacing w:val="-20"/>
                <w:sz w:val="21"/>
                <w:szCs w:val="21"/>
              </w:rPr>
              <w:t>饰面用花岗岩</w:t>
            </w:r>
          </w:p>
        </w:tc>
        <w:tc>
          <w:tcPr>
            <w:tcW w:w="1456"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荒料</w:t>
            </w:r>
          </w:p>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万立方米</w:t>
            </w:r>
          </w:p>
        </w:tc>
        <w:tc>
          <w:tcPr>
            <w:tcW w:w="1361"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105</w:t>
            </w: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文登区</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56"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36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荣成市</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56"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36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乳山市</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矿泉水</w:t>
            </w:r>
          </w:p>
        </w:tc>
        <w:tc>
          <w:tcPr>
            <w:tcW w:w="1456"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万立方米</w:t>
            </w:r>
          </w:p>
        </w:tc>
        <w:tc>
          <w:tcPr>
            <w:tcW w:w="1361"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21</w:t>
            </w: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环翠区</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56"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36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文登区</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56"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36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荣成市</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建筑用花岗岩</w:t>
            </w:r>
          </w:p>
        </w:tc>
        <w:tc>
          <w:tcPr>
            <w:tcW w:w="1456"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万立方米</w:t>
            </w:r>
          </w:p>
        </w:tc>
        <w:tc>
          <w:tcPr>
            <w:tcW w:w="1361"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520</w:t>
            </w: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文登区</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56"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36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荣成市</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56"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36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乳山市</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asciiTheme="minorEastAsia" w:hAnsiTheme="minorEastAsia" w:eastAsiaTheme="minorEastAsia"/>
                <w:bCs/>
                <w:color w:val="auto"/>
                <w:sz w:val="21"/>
                <w:szCs w:val="21"/>
              </w:rPr>
              <w:t>建筑用安山岩</w:t>
            </w:r>
          </w:p>
        </w:tc>
        <w:tc>
          <w:tcPr>
            <w:tcW w:w="1456"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万立方米</w:t>
            </w:r>
          </w:p>
        </w:tc>
        <w:tc>
          <w:tcPr>
            <w:tcW w:w="1361"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70</w:t>
            </w: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荣成市</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建筑用砂</w:t>
            </w:r>
          </w:p>
        </w:tc>
        <w:tc>
          <w:tcPr>
            <w:tcW w:w="1456"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万立方米</w:t>
            </w:r>
          </w:p>
        </w:tc>
        <w:tc>
          <w:tcPr>
            <w:tcW w:w="1361" w:type="dxa"/>
            <w:vMerge w:val="restart"/>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70</w:t>
            </w: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荣成市</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jc w:val="center"/>
        </w:trPr>
        <w:tc>
          <w:tcPr>
            <w:tcW w:w="184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56"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361" w:type="dxa"/>
            <w:vMerge w:val="continue"/>
            <w:shd w:val="clear" w:color="auto" w:fill="auto"/>
            <w:vAlign w:val="center"/>
          </w:tcPr>
          <w:p>
            <w:pPr>
              <w:adjustRightInd w:val="0"/>
              <w:snapToGrid w:val="0"/>
              <w:jc w:val="center"/>
              <w:rPr>
                <w:rFonts w:asciiTheme="minorEastAsia" w:hAnsiTheme="minorEastAsia" w:eastAsiaTheme="minorEastAsia"/>
                <w:bCs/>
                <w:color w:val="auto"/>
                <w:sz w:val="21"/>
                <w:szCs w:val="21"/>
              </w:rPr>
            </w:pPr>
          </w:p>
        </w:tc>
        <w:tc>
          <w:tcPr>
            <w:tcW w:w="1409"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乳山市</w:t>
            </w:r>
          </w:p>
        </w:tc>
        <w:tc>
          <w:tcPr>
            <w:tcW w:w="2035" w:type="dxa"/>
            <w:shd w:val="clear" w:color="auto" w:fill="auto"/>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30</w:t>
            </w:r>
          </w:p>
        </w:tc>
      </w:tr>
    </w:tbl>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地热资源要充分考虑地热田允许开采量，规范开采，统一规划，合理利用，严禁超量开采。</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饰面用花岗岩及建筑用砂石资源落实《威海市人民政府办公室关于进一步加强山石资源开发管理的意见》（威政办字〔2018〕92号），合理规划，按需调控，有序投放。新建饰面用石材矿山生产规模不得低于5万立方米／年，矿山服务年限不得少于5年；新建露天开采普通建筑用石材矿山，批准生产规模不得低于50万立方米／年，矿山服务年限原则上不得少于10年；新建建筑用砂矿山生产规模不得低于4万立方米／年，矿山服务年限不得少于5年。</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2025年，市级（含区县）固体矿产采矿权总数控制在35个以内。</w:t>
      </w:r>
    </w:p>
    <w:p>
      <w:pPr>
        <w:pStyle w:val="3"/>
        <w:widowControl w:val="0"/>
        <w:ind w:firstLine="602" w:firstLineChars="200"/>
        <w:rPr>
          <w:rFonts w:ascii="楷体" w:hAnsi="楷体" w:eastAsia="楷体" w:cs="楷体"/>
          <w:bCs w:val="0"/>
          <w:color w:val="auto"/>
          <w:kern w:val="2"/>
          <w:sz w:val="30"/>
          <w:szCs w:val="30"/>
        </w:rPr>
      </w:pPr>
      <w:bookmarkStart w:id="34" w:name="_Toc79415228"/>
      <w:r>
        <w:rPr>
          <w:rFonts w:ascii="楷体" w:hAnsi="楷体" w:eastAsia="楷体" w:cs="楷体"/>
          <w:bCs w:val="0"/>
          <w:color w:val="auto"/>
          <w:kern w:val="2"/>
          <w:sz w:val="30"/>
          <w:szCs w:val="30"/>
        </w:rPr>
        <w:t>（二）优化</w:t>
      </w:r>
      <w:r>
        <w:rPr>
          <w:rFonts w:hint="eastAsia" w:ascii="楷体" w:hAnsi="楷体" w:eastAsia="楷体" w:cs="楷体"/>
          <w:bCs w:val="0"/>
          <w:color w:val="auto"/>
          <w:kern w:val="2"/>
          <w:sz w:val="30"/>
          <w:szCs w:val="30"/>
        </w:rPr>
        <w:t>开发利用结构</w:t>
      </w:r>
      <w:bookmarkEnd w:id="34"/>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按照国家产业政策和省市有关要求，坚持矿山设计开采规模与矿区储量规模相适应的原则，结合矿山开采现状，执行重点矿种矿山最低开采规模指标要求，制定新建矿山开采最低规模标准。</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1.矿山规模结构</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制定矿山最低开采规模（见专栏四），科学设置新建矿山准入门槛。鼓励、引导矿山企业实施兼并联合，规模化开采、集约化经营。实施资源整合开发，建立产能高、技术高、资源优势明显的大型矿山。到2025年底，全市固体矿产大中型矿山比例提高到65%以上。</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2.产品与技术结构</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以改造提升传统产业的关键技术为中心，加大科技创新力度，提升自主创新能力，加大高附加值产品的研究与开发，促进矿业产业链现代化。</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地热资源统一规划，合理开发，有效保护。通过政府调控和引导，培育资金雄厚、管理规范、技术进步、利用高效的市场主体，做大做强温泉产业，打响威海温泉品牌。</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饰面板材要重视开发优质品种，发展多样花色品级系列板材、异型石材、工艺石雕等产品，增加产品附加值，促进产业结构调整和产品升级。</w:t>
      </w:r>
    </w:p>
    <w:p>
      <w:pPr>
        <w:spacing w:line="360" w:lineRule="auto"/>
        <w:ind w:firstLine="480" w:firstLineChars="200"/>
        <w:jc w:val="center"/>
        <w:rPr>
          <w:color w:val="auto"/>
        </w:rPr>
      </w:pPr>
    </w:p>
    <w:tbl>
      <w:tblPr>
        <w:tblStyle w:val="25"/>
        <w:tblW w:w="75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9"/>
        <w:gridCol w:w="1494"/>
        <w:gridCol w:w="1860"/>
        <w:gridCol w:w="991"/>
        <w:gridCol w:w="800"/>
        <w:gridCol w:w="753"/>
        <w:gridCol w:w="1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18" w:type="dxa"/>
            <w:gridSpan w:val="7"/>
            <w:vAlign w:val="center"/>
          </w:tcPr>
          <w:p>
            <w:pPr>
              <w:spacing w:line="360" w:lineRule="auto"/>
              <w:ind w:firstLine="482" w:firstLineChars="200"/>
              <w:jc w:val="center"/>
              <w:rPr>
                <w:rFonts w:asciiTheme="minorEastAsia" w:hAnsiTheme="minorEastAsia" w:eastAsiaTheme="minorEastAsia"/>
                <w:b/>
                <w:color w:val="auto"/>
              </w:rPr>
            </w:pPr>
            <w:r>
              <w:rPr>
                <w:rFonts w:hint="eastAsia" w:asciiTheme="minorEastAsia" w:hAnsiTheme="minorEastAsia" w:eastAsiaTheme="minorEastAsia"/>
                <w:b/>
                <w:color w:val="auto"/>
              </w:rPr>
              <w:t>专栏四   威海市重点矿种矿山最低开采规模规划表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Merge w:val="restart"/>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序号</w:t>
            </w:r>
          </w:p>
        </w:tc>
        <w:tc>
          <w:tcPr>
            <w:tcW w:w="1494" w:type="dxa"/>
            <w:vMerge w:val="restart"/>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矿种名称</w:t>
            </w:r>
          </w:p>
        </w:tc>
        <w:tc>
          <w:tcPr>
            <w:tcW w:w="1860" w:type="dxa"/>
            <w:vMerge w:val="restart"/>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开采规模(单位/年)</w:t>
            </w:r>
          </w:p>
        </w:tc>
        <w:tc>
          <w:tcPr>
            <w:tcW w:w="2544" w:type="dxa"/>
            <w:gridSpan w:val="3"/>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矿山最低开采规模</w:t>
            </w:r>
          </w:p>
        </w:tc>
        <w:tc>
          <w:tcPr>
            <w:tcW w:w="1041" w:type="dxa"/>
            <w:vMerge w:val="restart"/>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Merge w:val="continue"/>
            <w:vAlign w:val="center"/>
          </w:tcPr>
          <w:p>
            <w:pPr>
              <w:spacing w:line="240" w:lineRule="exact"/>
              <w:jc w:val="center"/>
              <w:rPr>
                <w:rFonts w:asciiTheme="minorEastAsia" w:hAnsiTheme="minorEastAsia" w:eastAsiaTheme="minorEastAsia"/>
                <w:color w:val="auto"/>
                <w:sz w:val="21"/>
                <w:szCs w:val="21"/>
              </w:rPr>
            </w:pPr>
          </w:p>
        </w:tc>
        <w:tc>
          <w:tcPr>
            <w:tcW w:w="1494" w:type="dxa"/>
            <w:vMerge w:val="continue"/>
            <w:vAlign w:val="center"/>
          </w:tcPr>
          <w:p>
            <w:pPr>
              <w:spacing w:line="240" w:lineRule="exact"/>
              <w:jc w:val="center"/>
              <w:rPr>
                <w:rFonts w:asciiTheme="minorEastAsia" w:hAnsiTheme="minorEastAsia" w:eastAsiaTheme="minorEastAsia"/>
                <w:color w:val="auto"/>
                <w:sz w:val="21"/>
                <w:szCs w:val="21"/>
              </w:rPr>
            </w:pPr>
          </w:p>
        </w:tc>
        <w:tc>
          <w:tcPr>
            <w:tcW w:w="1860" w:type="dxa"/>
            <w:vMerge w:val="continue"/>
            <w:vAlign w:val="center"/>
          </w:tcPr>
          <w:p>
            <w:pPr>
              <w:spacing w:line="240" w:lineRule="exact"/>
              <w:jc w:val="center"/>
              <w:rPr>
                <w:rFonts w:asciiTheme="minorEastAsia" w:hAnsiTheme="minorEastAsia" w:eastAsiaTheme="minorEastAsia"/>
                <w:color w:val="auto"/>
                <w:sz w:val="21"/>
                <w:szCs w:val="21"/>
              </w:rPr>
            </w:pPr>
          </w:p>
        </w:tc>
        <w:tc>
          <w:tcPr>
            <w:tcW w:w="991"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大型</w:t>
            </w:r>
          </w:p>
        </w:tc>
        <w:tc>
          <w:tcPr>
            <w:tcW w:w="80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中型</w:t>
            </w:r>
          </w:p>
        </w:tc>
        <w:tc>
          <w:tcPr>
            <w:tcW w:w="753"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小型</w:t>
            </w:r>
          </w:p>
        </w:tc>
        <w:tc>
          <w:tcPr>
            <w:tcW w:w="1041" w:type="dxa"/>
            <w:vMerge w:val="continue"/>
            <w:vAlign w:val="center"/>
          </w:tcPr>
          <w:p>
            <w:pPr>
              <w:spacing w:line="240" w:lineRule="exact"/>
              <w:jc w:val="center"/>
              <w:rPr>
                <w:rFonts w:asciiTheme="minorEastAsia"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w:t>
            </w:r>
          </w:p>
        </w:tc>
        <w:tc>
          <w:tcPr>
            <w:tcW w:w="1494"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铁</w:t>
            </w:r>
          </w:p>
        </w:tc>
        <w:tc>
          <w:tcPr>
            <w:tcW w:w="1860" w:type="dxa"/>
          </w:tcPr>
          <w:p>
            <w:pP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矿石万吨；地下/露天开采</w:t>
            </w:r>
          </w:p>
        </w:tc>
        <w:tc>
          <w:tcPr>
            <w:tcW w:w="991"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100/200</w:t>
            </w:r>
          </w:p>
        </w:tc>
        <w:tc>
          <w:tcPr>
            <w:tcW w:w="80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45/60</w:t>
            </w:r>
          </w:p>
        </w:tc>
        <w:tc>
          <w:tcPr>
            <w:tcW w:w="753"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1041" w:type="dxa"/>
            <w:vMerge w:val="restart"/>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落实省规划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2</w:t>
            </w:r>
          </w:p>
        </w:tc>
        <w:tc>
          <w:tcPr>
            <w:tcW w:w="1494"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金</w:t>
            </w:r>
          </w:p>
        </w:tc>
        <w:tc>
          <w:tcPr>
            <w:tcW w:w="1860" w:type="dxa"/>
          </w:tcPr>
          <w:p>
            <w:pP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 xml:space="preserve">矿石  万吨 </w:t>
            </w:r>
          </w:p>
        </w:tc>
        <w:tc>
          <w:tcPr>
            <w:tcW w:w="991"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15</w:t>
            </w:r>
          </w:p>
        </w:tc>
        <w:tc>
          <w:tcPr>
            <w:tcW w:w="80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9</w:t>
            </w:r>
          </w:p>
        </w:tc>
        <w:tc>
          <w:tcPr>
            <w:tcW w:w="753"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1041" w:type="dxa"/>
            <w:vMerge w:val="continue"/>
            <w:vAlign w:val="center"/>
          </w:tcPr>
          <w:p>
            <w:pPr>
              <w:spacing w:line="240" w:lineRule="exact"/>
              <w:jc w:val="center"/>
              <w:rPr>
                <w:rFonts w:asciiTheme="minorEastAsia"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3</w:t>
            </w:r>
          </w:p>
        </w:tc>
        <w:tc>
          <w:tcPr>
            <w:tcW w:w="1494"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银</w:t>
            </w:r>
          </w:p>
        </w:tc>
        <w:tc>
          <w:tcPr>
            <w:tcW w:w="1860" w:type="dxa"/>
          </w:tcPr>
          <w:p>
            <w:pP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矿石  万吨</w:t>
            </w:r>
          </w:p>
        </w:tc>
        <w:tc>
          <w:tcPr>
            <w:tcW w:w="991"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30</w:t>
            </w:r>
          </w:p>
        </w:tc>
        <w:tc>
          <w:tcPr>
            <w:tcW w:w="80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20</w:t>
            </w:r>
          </w:p>
        </w:tc>
        <w:tc>
          <w:tcPr>
            <w:tcW w:w="753"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3</w:t>
            </w:r>
          </w:p>
        </w:tc>
        <w:tc>
          <w:tcPr>
            <w:tcW w:w="1041" w:type="dxa"/>
            <w:vMerge w:val="continue"/>
            <w:vAlign w:val="center"/>
          </w:tcPr>
          <w:p>
            <w:pPr>
              <w:spacing w:line="240" w:lineRule="exact"/>
              <w:jc w:val="center"/>
              <w:rPr>
                <w:rFonts w:asciiTheme="minorEastAsia"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4</w:t>
            </w:r>
          </w:p>
        </w:tc>
        <w:tc>
          <w:tcPr>
            <w:tcW w:w="1494"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石墨</w:t>
            </w:r>
          </w:p>
        </w:tc>
        <w:tc>
          <w:tcPr>
            <w:tcW w:w="1860" w:type="dxa"/>
          </w:tcPr>
          <w:p>
            <w:pP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矿物/矿石万吨</w:t>
            </w:r>
          </w:p>
        </w:tc>
        <w:tc>
          <w:tcPr>
            <w:tcW w:w="991"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1.0/10</w:t>
            </w:r>
          </w:p>
        </w:tc>
        <w:tc>
          <w:tcPr>
            <w:tcW w:w="800" w:type="dxa"/>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753" w:type="dxa"/>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1041" w:type="dxa"/>
            <w:vMerge w:val="continue"/>
            <w:vAlign w:val="center"/>
          </w:tcPr>
          <w:p>
            <w:pPr>
              <w:spacing w:line="240" w:lineRule="exact"/>
              <w:jc w:val="center"/>
              <w:rPr>
                <w:rFonts w:asciiTheme="minorEastAsia"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5</w:t>
            </w:r>
          </w:p>
        </w:tc>
        <w:tc>
          <w:tcPr>
            <w:tcW w:w="1494"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地热</w:t>
            </w:r>
          </w:p>
        </w:tc>
        <w:tc>
          <w:tcPr>
            <w:tcW w:w="186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万立方米</w:t>
            </w:r>
          </w:p>
        </w:tc>
        <w:tc>
          <w:tcPr>
            <w:tcW w:w="991"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20</w:t>
            </w:r>
          </w:p>
        </w:tc>
        <w:tc>
          <w:tcPr>
            <w:tcW w:w="80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10</w:t>
            </w:r>
          </w:p>
        </w:tc>
        <w:tc>
          <w:tcPr>
            <w:tcW w:w="753"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3</w:t>
            </w:r>
          </w:p>
        </w:tc>
        <w:tc>
          <w:tcPr>
            <w:tcW w:w="1041" w:type="dxa"/>
            <w:vMerge w:val="restart"/>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市发证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6</w:t>
            </w:r>
          </w:p>
        </w:tc>
        <w:tc>
          <w:tcPr>
            <w:tcW w:w="1494" w:type="dxa"/>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高岭土</w:t>
            </w:r>
          </w:p>
        </w:tc>
        <w:tc>
          <w:tcPr>
            <w:tcW w:w="186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矿石  万吨</w:t>
            </w:r>
          </w:p>
        </w:tc>
        <w:tc>
          <w:tcPr>
            <w:tcW w:w="991"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10</w:t>
            </w:r>
          </w:p>
        </w:tc>
        <w:tc>
          <w:tcPr>
            <w:tcW w:w="80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5</w:t>
            </w:r>
          </w:p>
        </w:tc>
        <w:tc>
          <w:tcPr>
            <w:tcW w:w="753"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1041" w:type="dxa"/>
            <w:vMerge w:val="continue"/>
            <w:vAlign w:val="center"/>
          </w:tcPr>
          <w:p>
            <w:pPr>
              <w:spacing w:line="240" w:lineRule="exact"/>
              <w:jc w:val="center"/>
              <w:rPr>
                <w:rFonts w:asciiTheme="minorEastAsia"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7</w:t>
            </w:r>
          </w:p>
        </w:tc>
        <w:tc>
          <w:tcPr>
            <w:tcW w:w="1494" w:type="dxa"/>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蛇纹岩</w:t>
            </w:r>
          </w:p>
        </w:tc>
        <w:tc>
          <w:tcPr>
            <w:tcW w:w="186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矿石  万吨</w:t>
            </w:r>
          </w:p>
        </w:tc>
        <w:tc>
          <w:tcPr>
            <w:tcW w:w="991"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30</w:t>
            </w:r>
          </w:p>
        </w:tc>
        <w:tc>
          <w:tcPr>
            <w:tcW w:w="80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753"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1041" w:type="dxa"/>
            <w:vMerge w:val="continue"/>
            <w:vAlign w:val="center"/>
          </w:tcPr>
          <w:p>
            <w:pPr>
              <w:spacing w:line="240" w:lineRule="exact"/>
              <w:jc w:val="center"/>
              <w:rPr>
                <w:rFonts w:asciiTheme="minorEastAsia"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8</w:t>
            </w:r>
          </w:p>
        </w:tc>
        <w:tc>
          <w:tcPr>
            <w:tcW w:w="1494"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饰面用花岗岩</w:t>
            </w:r>
          </w:p>
        </w:tc>
        <w:tc>
          <w:tcPr>
            <w:tcW w:w="186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荒料 万立方米</w:t>
            </w:r>
          </w:p>
        </w:tc>
        <w:tc>
          <w:tcPr>
            <w:tcW w:w="991"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5</w:t>
            </w:r>
          </w:p>
        </w:tc>
        <w:tc>
          <w:tcPr>
            <w:tcW w:w="80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753"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1041" w:type="dxa"/>
            <w:vMerge w:val="continue"/>
            <w:vAlign w:val="center"/>
          </w:tcPr>
          <w:p>
            <w:pPr>
              <w:spacing w:line="240" w:lineRule="exact"/>
              <w:jc w:val="center"/>
              <w:rPr>
                <w:rFonts w:asciiTheme="minorEastAsia"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9</w:t>
            </w:r>
          </w:p>
        </w:tc>
        <w:tc>
          <w:tcPr>
            <w:tcW w:w="1494"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矿泉水</w:t>
            </w:r>
          </w:p>
        </w:tc>
        <w:tc>
          <w:tcPr>
            <w:tcW w:w="186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万立方米</w:t>
            </w:r>
          </w:p>
        </w:tc>
        <w:tc>
          <w:tcPr>
            <w:tcW w:w="991"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10</w:t>
            </w:r>
          </w:p>
        </w:tc>
        <w:tc>
          <w:tcPr>
            <w:tcW w:w="80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5</w:t>
            </w:r>
          </w:p>
        </w:tc>
        <w:tc>
          <w:tcPr>
            <w:tcW w:w="753"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3</w:t>
            </w:r>
          </w:p>
        </w:tc>
        <w:tc>
          <w:tcPr>
            <w:tcW w:w="1041" w:type="dxa"/>
            <w:vMerge w:val="continue"/>
            <w:vAlign w:val="center"/>
          </w:tcPr>
          <w:p>
            <w:pPr>
              <w:spacing w:line="240" w:lineRule="exact"/>
              <w:jc w:val="center"/>
              <w:rPr>
                <w:rFonts w:asciiTheme="minorEastAsia"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10</w:t>
            </w:r>
          </w:p>
        </w:tc>
        <w:tc>
          <w:tcPr>
            <w:tcW w:w="1494"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建筑用花岗岩</w:t>
            </w:r>
          </w:p>
        </w:tc>
        <w:tc>
          <w:tcPr>
            <w:tcW w:w="186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矿石 万立方米</w:t>
            </w:r>
          </w:p>
        </w:tc>
        <w:tc>
          <w:tcPr>
            <w:tcW w:w="991"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50</w:t>
            </w:r>
          </w:p>
        </w:tc>
        <w:tc>
          <w:tcPr>
            <w:tcW w:w="80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753"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1041" w:type="dxa"/>
            <w:vMerge w:val="restart"/>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区县市发证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11</w:t>
            </w:r>
          </w:p>
        </w:tc>
        <w:tc>
          <w:tcPr>
            <w:tcW w:w="1494"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建筑用安山岩</w:t>
            </w:r>
          </w:p>
        </w:tc>
        <w:tc>
          <w:tcPr>
            <w:tcW w:w="186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矿石 万立方米</w:t>
            </w:r>
          </w:p>
        </w:tc>
        <w:tc>
          <w:tcPr>
            <w:tcW w:w="991"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50</w:t>
            </w:r>
          </w:p>
        </w:tc>
        <w:tc>
          <w:tcPr>
            <w:tcW w:w="80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753"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1041" w:type="dxa"/>
            <w:vMerge w:val="continue"/>
            <w:vAlign w:val="center"/>
          </w:tcPr>
          <w:p>
            <w:pPr>
              <w:spacing w:line="240" w:lineRule="exact"/>
              <w:jc w:val="center"/>
              <w:rPr>
                <w:rFonts w:asciiTheme="minorEastAsia"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79"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12</w:t>
            </w:r>
          </w:p>
        </w:tc>
        <w:tc>
          <w:tcPr>
            <w:tcW w:w="1494" w:type="dxa"/>
            <w:vAlign w:val="center"/>
          </w:tcPr>
          <w:p>
            <w:pPr>
              <w:adjustRightInd w:val="0"/>
              <w:snapToGrid w:val="0"/>
              <w:jc w:val="center"/>
              <w:rPr>
                <w:rFonts w:asciiTheme="minorEastAsia" w:hAnsiTheme="minorEastAsia" w:eastAsiaTheme="minorEastAsia"/>
                <w:bCs/>
                <w:color w:val="auto"/>
                <w:sz w:val="21"/>
                <w:szCs w:val="21"/>
              </w:rPr>
            </w:pPr>
            <w:r>
              <w:rPr>
                <w:rFonts w:hint="eastAsia" w:asciiTheme="minorEastAsia" w:hAnsiTheme="minorEastAsia" w:eastAsiaTheme="minorEastAsia"/>
                <w:bCs/>
                <w:color w:val="auto"/>
                <w:sz w:val="21"/>
                <w:szCs w:val="21"/>
              </w:rPr>
              <w:t>建筑用砂</w:t>
            </w:r>
          </w:p>
        </w:tc>
        <w:tc>
          <w:tcPr>
            <w:tcW w:w="186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矿石 万立方米</w:t>
            </w:r>
          </w:p>
        </w:tc>
        <w:tc>
          <w:tcPr>
            <w:tcW w:w="991"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15</w:t>
            </w:r>
          </w:p>
        </w:tc>
        <w:tc>
          <w:tcPr>
            <w:tcW w:w="800"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4</w:t>
            </w:r>
          </w:p>
        </w:tc>
        <w:tc>
          <w:tcPr>
            <w:tcW w:w="753" w:type="dxa"/>
            <w:vAlign w:val="center"/>
          </w:tcPr>
          <w:p>
            <w:pPr>
              <w:spacing w:line="240" w:lineRule="exact"/>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1041" w:type="dxa"/>
            <w:vMerge w:val="continue"/>
            <w:vAlign w:val="center"/>
          </w:tcPr>
          <w:p>
            <w:pPr>
              <w:spacing w:line="240" w:lineRule="exact"/>
              <w:jc w:val="center"/>
              <w:rPr>
                <w:rFonts w:asciiTheme="minorEastAsia" w:hAnsiTheme="minorEastAsia" w:eastAsiaTheme="minorEastAsia"/>
                <w:color w:val="auto"/>
                <w:sz w:val="21"/>
                <w:szCs w:val="21"/>
              </w:rPr>
            </w:pPr>
          </w:p>
        </w:tc>
      </w:tr>
    </w:tbl>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3.矿产资源节约集约利用</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推广先进适用技术，坚持需求导向，鼓励自主创新，提升矿山“三率”水平。</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支持推广建材类矿产采矿和综合利用方面的先进适用技术应用，推进技术与资本、技术与市场的融合，提高产业资源综合发展能力。</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提升金等金属矿产矿山企业综合利用共伴生矿产水平，矿山废石在坚持减量化、资源化、无害化的同时，加大废石、尾矿的综合利用，提高资源配置与利用效率。</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规划期内，要强化对矿山综合利用的管理，加大对矿产资源综合利用和研究的投入，抓好新技术、新方法的推广应用，努力提高矿产资源综合利用水平，有效保护与合理利用矿产资源。</w:t>
      </w:r>
    </w:p>
    <w:p>
      <w:pPr>
        <w:pStyle w:val="3"/>
        <w:widowControl w:val="0"/>
        <w:ind w:firstLine="602" w:firstLineChars="200"/>
        <w:rPr>
          <w:rFonts w:ascii="楷体" w:hAnsi="楷体" w:eastAsia="楷体" w:cs="楷体"/>
          <w:bCs w:val="0"/>
          <w:color w:val="auto"/>
          <w:kern w:val="2"/>
          <w:sz w:val="30"/>
          <w:szCs w:val="30"/>
        </w:rPr>
      </w:pPr>
      <w:bookmarkStart w:id="35" w:name="_Toc79415229"/>
      <w:r>
        <w:rPr>
          <w:rFonts w:ascii="楷体" w:hAnsi="楷体" w:eastAsia="楷体" w:cs="楷体"/>
          <w:bCs w:val="0"/>
          <w:color w:val="auto"/>
          <w:kern w:val="2"/>
          <w:sz w:val="30"/>
          <w:szCs w:val="30"/>
        </w:rPr>
        <w:t>（三）严格规划准入管理</w:t>
      </w:r>
      <w:bookmarkEnd w:id="35"/>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绿色勘查：执行部、省绿色勘查规范。</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资源、开采规模：资源储量及其类别必须满足开采设计要求。须满足最低开采规模及最低服务年限要求，矿山开采规模必须与矿区（床）资源储量规模相适应。矿山建设须符合规模生产、集约经营的原则。</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开发利用</w:t>
      </w:r>
      <w:r>
        <w:rPr>
          <w:rFonts w:eastAsia="仿宋_GB2312"/>
          <w:color w:val="auto"/>
          <w:kern w:val="2"/>
          <w:sz w:val="28"/>
          <w:szCs w:val="28"/>
        </w:rPr>
        <w:t>水平：符合矿山开采设计或矿产开发利用方案相</w:t>
      </w:r>
      <w:r>
        <w:rPr>
          <w:rFonts w:hint="eastAsia" w:eastAsia="仿宋_GB2312"/>
          <w:color w:val="auto"/>
          <w:kern w:val="2"/>
          <w:sz w:val="28"/>
          <w:szCs w:val="28"/>
        </w:rPr>
        <w:t>关</w:t>
      </w:r>
      <w:r>
        <w:rPr>
          <w:rFonts w:eastAsia="仿宋_GB2312"/>
          <w:color w:val="auto"/>
          <w:kern w:val="2"/>
          <w:sz w:val="28"/>
          <w:szCs w:val="28"/>
        </w:rPr>
        <w:t>要求；</w:t>
      </w:r>
      <w:r>
        <w:rPr>
          <w:rFonts w:hint="eastAsia" w:eastAsia="仿宋_GB2312"/>
          <w:color w:val="auto"/>
          <w:kern w:val="2"/>
          <w:sz w:val="28"/>
          <w:szCs w:val="28"/>
        </w:rPr>
        <w:t>采、选技术先进、方法科学、安全合理，节约与综合利用等指标达标</w:t>
      </w:r>
      <w:r>
        <w:rPr>
          <w:rFonts w:eastAsia="仿宋_GB2312"/>
          <w:color w:val="auto"/>
          <w:kern w:val="2"/>
          <w:sz w:val="28"/>
          <w:szCs w:val="28"/>
        </w:rPr>
        <w:t>。</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绿色矿山建设：依据绿色矿山建设标准和条件，严格矿山准入管理，新建矿山全部达到绿色矿山建设要求。</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矿区生态保护修复：严格审查采矿权申请人提交的矿山自然生态环境保护与治理方案，严把生态环境保护准入条件。</w:t>
      </w:r>
    </w:p>
    <w:p>
      <w:pPr>
        <w:pStyle w:val="3"/>
        <w:widowControl w:val="0"/>
        <w:ind w:firstLine="602" w:firstLineChars="200"/>
        <w:rPr>
          <w:rFonts w:eastAsia="仿宋_GB2312"/>
          <w:color w:val="auto"/>
          <w:kern w:val="2"/>
          <w:sz w:val="28"/>
          <w:szCs w:val="28"/>
        </w:rPr>
      </w:pPr>
      <w:bookmarkStart w:id="36" w:name="_Toc79415230"/>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四</w:t>
      </w:r>
      <w:r>
        <w:rPr>
          <w:rFonts w:ascii="楷体" w:hAnsi="楷体" w:eastAsia="楷体" w:cs="楷体"/>
          <w:bCs w:val="0"/>
          <w:color w:val="auto"/>
          <w:kern w:val="2"/>
          <w:sz w:val="30"/>
          <w:szCs w:val="30"/>
        </w:rPr>
        <w:t>）开采规划区块</w:t>
      </w:r>
      <w:bookmarkEnd w:id="36"/>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1.设置原则</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根据《山东省自然资源厅关于推进矿产资源管理改革若干事项的通知》（鲁自然资规〔2020〕2 号）的相关要求，合理设置威海市出让登记管理权限矿产的开采规划区块。</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开采规划区块设置要有利于整体开发，必须符合规划布局管理要求，必须与规划矿种的开发利用方向一致；地热、矿泉水达到普查（含普查）以上勘查程度的、国家出资勘查或探矿权灭失且勘查工作程度达到设置采矿权条件的、2020 年 5 月 1 日前形成并实际利用的现有地热井、矿泉水井可以直接划定开采规划区块；普通建筑用砂石土类以及采矿权灭失经核实仍存在可供开采矿产资源储量等情形的，直接划定开采规划区块。</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2.开采规划区块设置与投放</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探矿权转采矿权、已设采矿权整合依法依规进行，规划不做安排。</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拟设空白区新设开采规划区块共计49个，其中落实</w:t>
      </w:r>
      <w:r>
        <w:rPr>
          <w:rFonts w:hint="eastAsia" w:eastAsia="仿宋_GB2312"/>
          <w:color w:val="auto"/>
          <w:kern w:val="2"/>
          <w:sz w:val="28"/>
          <w:szCs w:val="28"/>
        </w:rPr>
        <w:t>省级以上发证矿种开采规划区块1个，面积0.5平方千米，矿种为石墨。</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规划市级发证矿种空白区新设开采规划区块33个，面积3.7平方千米，其中地热14个，矿泉水3个、高岭土1个、饰面用花岗岩15个。</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规划区县级发证矿种空白区新设开采规划区块15个，面积10.4平方千米，其中建筑用花岗岩8个、建筑用安山岩1个、建筑用砂6个。</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开采规划区块投放要考虑矿种开采总量、矿山数量控制要求，做到有序投放。市级发证开采规划区块2021年拟投放9个，2022年拟投放10个，2023年拟投放5个，2024年拟投放5个，2025年拟投放4个。</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3.管理措施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一个开采规划区块只设一个开采主体。采矿权投放时严格落实规划区块划定的范围，不得变更规划区块确定的开采矿种。采矿权出让应采取招标、拍卖、挂牌等公开竞争方式进行，签订采矿权出让合同。严格限制采矿权协议出让，基于矿山安全生产和资源合理开发利用等考虑，已设采矿权深部或上部的同类矿产（《矿产资源分类细目》的类别，普通建筑用砂石土类矿产除外），需要利用原有生产系统进一步勘查开采矿产资源的；同一采矿权人实施整合、利用不宜单独设立矿业权的夹缝资源，整合方案经地方政府同意后，可以协议方式向同一主体出让采矿权。协议出让采矿权，必须实行价格评估、结果公示。严格采矿权出让交易监管，建立和完善开采规划区块动态管理机制。</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2020年底有效的已设采矿权，到期后，扩界严格采取招拍挂公开竞争性方式出让采矿权。</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探索“净矿”出让机制，出让范围应依法依规有效避让生态保护红线、永久基本农田、城镇开发边界和国家公益林保护区等禁止限制勘查开采区域，并符合各级各类规划管控、勘查程度、开采规模、最低服务年限等要求。优化矿业权出让合同管理机制，进一步明确矿业权人应履行的法定义务，强化履约监管。</w:t>
      </w:r>
    </w:p>
    <w:p>
      <w:pPr>
        <w:pStyle w:val="3"/>
        <w:widowControl w:val="0"/>
        <w:ind w:firstLine="602" w:firstLineChars="200"/>
        <w:rPr>
          <w:rFonts w:eastAsia="仿宋_GB2312"/>
          <w:color w:val="auto"/>
          <w:kern w:val="2"/>
          <w:sz w:val="28"/>
          <w:szCs w:val="28"/>
        </w:rPr>
      </w:pPr>
      <w:bookmarkStart w:id="37" w:name="_Toc79415231"/>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五</w:t>
      </w:r>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规范砂石资源开发利用</w:t>
      </w:r>
      <w:bookmarkEnd w:id="37"/>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依据《山东省自然资源厅关于进一步加强砂石资源开发提高砂石资源市场供给能力的通知》（鲁自然资字〔 2020) 4 号）、《威海市人民政府办公室关于进一步加强山石资源开发管理的意见》（威政办字〔2018〕92号）和国土空间规划生态保护红线、永久基本农田、城镇开发边界三条控制线相关要求，统筹考虑重大工程、重大项目建设及市场需求，依据环境保护和运输半径合理规划砂石开采布局。</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威海中心市区（环翠区、高区、经区、临港区）范围内一律不得设置砂石资源矿山。文登区、荣成市、乳山市可根据当地及全市城乡建设和经济社会发展需求，按照“合理布局、控制点数、辐射周边”原则，在各自辖区内选择符合国土空间规划管控范围，与周边铁路、桥梁、水库、村庄、居民区、生产生活设施、县级以上重要的公路和电力设施等最短直线距离达到相关法律法规规定的安全距离要求，植被覆盖率低且有相当资源储量规模的山体，实行规模化、集约化开采，集约利用、绿色开发。</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文登区：划定砂石开采区块3处，均为建筑用花岗岩；</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荣成市：划定砂石开采区块7处，其中建筑用花岗岩2处、建筑用安山岩1处、建筑用砂4处；</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乳山市：划定砂石开采区块5处，其中建筑用花岗岩3处、建筑用砂2处，划定建筑用花岗岩备选开采区2处。</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期内，新建露天开采普通建筑用石材矿山，严格按规划最低生产规模和矿山服务年限要求准入；新建普通建筑用石材开采矿山必须整体出让、整体开发，严禁分割出让、大矿小开、一矿多开、一证多点；严格按矿业权设置准入条件和环境保护、矿山地质环境恢复治理和土地复垦要求进行。</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鼓励和支持对现有矿山的尾矿、尾渣进行综合利用，发展和推广应用机制砂替代河砂和海砂；鼓励利用尾矿尾渣、石粉、泥粉、建筑垃圾等研发新型建筑材料，实现“变废为宝”。</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统筹各区、县市砂石矿产的开发布局，促进资源优势互补统筹，鼓励砂石资源的区域合理调配，根据全市经济发展情况进行调控。科学制定年度出让计划，有序投放采矿权，促进建筑用石料保供稳价。坚持矿地综合开发利用导向，推动建筑用石料资源开采、加工一体化建设，促进砂石行业高质量发展。</w:t>
      </w: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sectPr>
          <w:pgSz w:w="11906" w:h="16838"/>
          <w:pgMar w:top="1440" w:right="1797" w:bottom="1440" w:left="1797" w:header="709" w:footer="709" w:gutter="0"/>
          <w:cols w:space="708" w:num="1"/>
          <w:docGrid w:linePitch="360" w:charSpace="0"/>
        </w:sectPr>
      </w:pPr>
    </w:p>
    <w:p>
      <w:pPr>
        <w:pStyle w:val="2"/>
        <w:widowControl w:val="0"/>
        <w:spacing w:before="360" w:after="360" w:line="360" w:lineRule="auto"/>
        <w:ind w:firstLine="640" w:firstLineChars="200"/>
        <w:jc w:val="both"/>
        <w:rPr>
          <w:rFonts w:ascii="黑体" w:hAnsi="黑体" w:eastAsia="黑体" w:cs="黑体"/>
          <w:b w:val="0"/>
          <w:bCs w:val="0"/>
          <w:color w:val="auto"/>
          <w:kern w:val="2"/>
          <w:sz w:val="32"/>
          <w:szCs w:val="32"/>
        </w:rPr>
      </w:pPr>
      <w:bookmarkStart w:id="38" w:name="_Toc79415232"/>
      <w:r>
        <w:rPr>
          <w:rFonts w:hint="eastAsia" w:ascii="黑体" w:hAnsi="黑体" w:eastAsia="黑体" w:cs="黑体"/>
          <w:b w:val="0"/>
          <w:bCs w:val="0"/>
          <w:color w:val="auto"/>
          <w:kern w:val="2"/>
          <w:sz w:val="32"/>
          <w:szCs w:val="32"/>
        </w:rPr>
        <w:t>六、绿色矿山建设和矿区生态保护</w:t>
      </w:r>
      <w:bookmarkEnd w:id="38"/>
    </w:p>
    <w:p>
      <w:pPr>
        <w:pStyle w:val="3"/>
        <w:widowControl w:val="0"/>
        <w:ind w:firstLine="602" w:firstLineChars="200"/>
        <w:rPr>
          <w:rFonts w:ascii="楷体" w:hAnsi="楷体" w:eastAsia="楷体" w:cs="楷体"/>
          <w:bCs w:val="0"/>
          <w:color w:val="auto"/>
          <w:kern w:val="2"/>
          <w:sz w:val="30"/>
          <w:szCs w:val="30"/>
        </w:rPr>
      </w:pPr>
      <w:bookmarkStart w:id="39" w:name="_Toc79415233"/>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一</w:t>
      </w:r>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绿色矿山建设</w:t>
      </w:r>
      <w:bookmarkEnd w:id="39"/>
    </w:p>
    <w:p>
      <w:pPr>
        <w:widowControl w:val="0"/>
        <w:spacing w:line="560" w:lineRule="exact"/>
        <w:ind w:firstLine="562" w:firstLineChars="200"/>
        <w:jc w:val="both"/>
        <w:rPr>
          <w:rFonts w:eastAsia="仿宋_GB2312"/>
          <w:b/>
          <w:bCs/>
          <w:color w:val="auto"/>
          <w:sz w:val="28"/>
          <w:szCs w:val="28"/>
        </w:rPr>
      </w:pPr>
      <w:r>
        <w:rPr>
          <w:rFonts w:eastAsia="仿宋_GB2312"/>
          <w:b/>
          <w:bCs/>
          <w:color w:val="auto"/>
          <w:sz w:val="28"/>
          <w:szCs w:val="28"/>
        </w:rPr>
        <w:t>1.</w:t>
      </w:r>
      <w:r>
        <w:rPr>
          <w:rFonts w:hint="eastAsia" w:eastAsia="仿宋_GB2312"/>
          <w:b/>
          <w:bCs/>
          <w:color w:val="auto"/>
          <w:sz w:val="28"/>
          <w:szCs w:val="28"/>
        </w:rPr>
        <w:t>建设目标</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新建矿山全部达到绿色矿山建设要求，生产矿山加快改造升级，到2025年，全市绿色矿业格局基本形成，大型矿山绿色矿山建成率达到90%，中型矿山绿色矿山建成率达到80%，小型矿山绿色矿山建成率达到70%。</w:t>
      </w:r>
    </w:p>
    <w:p>
      <w:pPr>
        <w:widowControl w:val="0"/>
        <w:spacing w:line="560" w:lineRule="exact"/>
        <w:ind w:firstLine="562" w:firstLineChars="200"/>
        <w:jc w:val="both"/>
        <w:rPr>
          <w:rFonts w:eastAsia="仿宋_GB2312"/>
          <w:b/>
          <w:bCs/>
          <w:color w:val="auto"/>
          <w:sz w:val="28"/>
          <w:szCs w:val="28"/>
        </w:rPr>
      </w:pPr>
      <w:r>
        <w:rPr>
          <w:rFonts w:hint="eastAsia" w:eastAsia="仿宋_GB2312"/>
          <w:b/>
          <w:bCs/>
          <w:color w:val="auto"/>
          <w:sz w:val="28"/>
          <w:szCs w:val="28"/>
        </w:rPr>
        <w:t>2.相关支持政策</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坚持转方式与稳增长协调推进，在资源配置和矿业用地等方面向绿色矿山企业实行政策倾斜，依法优先配置资源和提供矿业用地，鼓励企业做大做强，充分落实资源综合利用、地质环境保护、节能减排等相关优惠政策。</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研究形成配套绿色矿山建设的激励政策。研究建立绿色矿业发展基金，完善有利于绿色矿山建设的减免制度，建立矿山企业资源消耗的自我约束机制，逐步形成与法律制度相衔接、向绿色矿山企业倾斜的政策体系。</w:t>
      </w:r>
    </w:p>
    <w:p>
      <w:pPr>
        <w:widowControl w:val="0"/>
        <w:spacing w:line="540" w:lineRule="exact"/>
        <w:ind w:firstLine="562" w:firstLineChars="200"/>
        <w:jc w:val="both"/>
        <w:rPr>
          <w:rFonts w:eastAsia="仿宋_GB2312"/>
          <w:color w:val="auto"/>
          <w:kern w:val="2"/>
          <w:sz w:val="28"/>
          <w:szCs w:val="28"/>
        </w:rPr>
      </w:pPr>
      <w:r>
        <w:rPr>
          <w:rFonts w:hint="eastAsia" w:eastAsia="仿宋_GB2312"/>
          <w:b/>
          <w:color w:val="auto"/>
          <w:kern w:val="2"/>
          <w:sz w:val="28"/>
          <w:szCs w:val="28"/>
        </w:rPr>
        <w:t>3.管理措施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鼓励矿山企业加大技术科技投入，通过技术改造采用先进技术、工艺和设备，逐步淘汰落后产能，提高资源综合开发利用、节能减排和环境保护的水平，满足绿色矿山建设。</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健全绿色矿山建设工作体系，完善绿色勘查和绿色矿山建设标准体系，完善配套激励政策体系，激发矿山企业绿色发展的内生动力，推动矿业高质量发展，努力构建规范矿产资源开发利用秩序的长效机制。</w:t>
      </w:r>
    </w:p>
    <w:p>
      <w:pPr>
        <w:widowControl w:val="0"/>
        <w:spacing w:line="540" w:lineRule="exact"/>
        <w:ind w:firstLine="560" w:firstLineChars="200"/>
        <w:jc w:val="both"/>
        <w:rPr>
          <w:rFonts w:eastAsia="仿宋_GB2312"/>
          <w:color w:val="auto"/>
          <w:kern w:val="2"/>
          <w:sz w:val="28"/>
          <w:szCs w:val="28"/>
        </w:rPr>
      </w:pPr>
      <w:r>
        <w:rPr>
          <w:rFonts w:eastAsia="仿宋_GB2312"/>
          <w:color w:val="auto"/>
          <w:kern w:val="2"/>
          <w:sz w:val="28"/>
          <w:szCs w:val="28"/>
        </w:rPr>
        <w:t>到202</w:t>
      </w:r>
      <w:r>
        <w:rPr>
          <w:rFonts w:hint="eastAsia" w:eastAsia="仿宋_GB2312"/>
          <w:color w:val="auto"/>
          <w:kern w:val="2"/>
          <w:sz w:val="28"/>
          <w:szCs w:val="28"/>
        </w:rPr>
        <w:t>5</w:t>
      </w:r>
      <w:r>
        <w:rPr>
          <w:rFonts w:eastAsia="仿宋_GB2312"/>
          <w:color w:val="auto"/>
          <w:kern w:val="2"/>
          <w:sz w:val="28"/>
          <w:szCs w:val="28"/>
        </w:rPr>
        <w:t>年，矿业布局结构得到调整优化，绿色矿山建设全面推进，资源开发利用效率和水平整体提升，矿业开发与生态环境保护协调发展，矿业开发对区域经济社会发展的支撑能力显著增强。</w:t>
      </w:r>
    </w:p>
    <w:p>
      <w:pPr>
        <w:pStyle w:val="3"/>
        <w:widowControl w:val="0"/>
        <w:ind w:firstLine="602" w:firstLineChars="200"/>
        <w:rPr>
          <w:rFonts w:ascii="楷体" w:hAnsi="楷体" w:eastAsia="楷体" w:cs="楷体"/>
          <w:bCs w:val="0"/>
          <w:color w:val="auto"/>
          <w:kern w:val="2"/>
          <w:sz w:val="30"/>
          <w:szCs w:val="30"/>
        </w:rPr>
      </w:pPr>
      <w:bookmarkStart w:id="40" w:name="_Toc79415234"/>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二</w:t>
      </w:r>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矿区</w:t>
      </w:r>
      <w:r>
        <w:rPr>
          <w:rFonts w:ascii="楷体" w:hAnsi="楷体" w:eastAsia="楷体" w:cs="楷体"/>
          <w:bCs w:val="0"/>
          <w:color w:val="auto"/>
          <w:kern w:val="2"/>
          <w:sz w:val="30"/>
          <w:szCs w:val="30"/>
        </w:rPr>
        <w:t>生态保护修复</w:t>
      </w:r>
      <w:bookmarkEnd w:id="40"/>
    </w:p>
    <w:p>
      <w:pPr>
        <w:widowControl w:val="0"/>
        <w:spacing w:line="560" w:lineRule="exact"/>
        <w:ind w:firstLine="562" w:firstLineChars="200"/>
        <w:jc w:val="both"/>
        <w:rPr>
          <w:rFonts w:eastAsia="仿宋_GB2312"/>
          <w:b/>
          <w:bCs/>
          <w:color w:val="auto"/>
          <w:sz w:val="28"/>
          <w:szCs w:val="28"/>
        </w:rPr>
      </w:pPr>
      <w:r>
        <w:rPr>
          <w:rFonts w:eastAsia="仿宋_GB2312"/>
          <w:b/>
          <w:bCs/>
          <w:color w:val="auto"/>
          <w:sz w:val="28"/>
          <w:szCs w:val="28"/>
        </w:rPr>
        <w:t>1.新建矿山</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严格矿山准入条件，新建矿山必须达到绿色矿山标准。坚持源头预防，按照绿色矿山建设标准，新建矿山制定从生产到闭坑矿区生态保护修复的全面规划，形成“采前有规划，过程能控制，采后可修复”准入制度。</w:t>
      </w:r>
    </w:p>
    <w:p>
      <w:pPr>
        <w:widowControl w:val="0"/>
        <w:spacing w:line="560" w:lineRule="exact"/>
        <w:ind w:firstLine="562" w:firstLineChars="200"/>
        <w:jc w:val="both"/>
        <w:rPr>
          <w:rFonts w:eastAsia="仿宋_GB2312"/>
          <w:b/>
          <w:bCs/>
          <w:color w:val="auto"/>
          <w:sz w:val="28"/>
          <w:szCs w:val="28"/>
        </w:rPr>
      </w:pPr>
      <w:r>
        <w:rPr>
          <w:rFonts w:eastAsia="仿宋_GB2312"/>
          <w:b/>
          <w:bCs/>
          <w:color w:val="auto"/>
          <w:sz w:val="28"/>
          <w:szCs w:val="28"/>
        </w:rPr>
        <w:t>2.生产矿山</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加强源头控制、预防和控制相结合，生产矿山必须依法履行矿山地质环境保护与土地复垦义务，严格落实地质环境保护与土地复垦方案要求，足额建立专项治理资金，遵照治理方案“边开采、边治理、边恢复”的原则，对矿山地质环境问题和占损土地进行治理恢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严格闭坑矿山的管理。停采或关闭的矿山、采坑，必须履行矿山地质环境保护与治理有关规定。根据“谁开发、谁保护，谁破坏、谁恢复”的治理原则，矿山地质环境保护与土地复垦责任，坚持以水而定、量水而行，宜耕则耕、宜林则林、宜灌则灌、宜草则草、宜湿则湿、宜荒则荒。</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落实矿山地质环境恢复责任制，强化对采矿权人主体责任的社会监督和执法监管，检查结果定期向社会公示。规范矿山地质环境治理恢复治理基金使用，强化矿山地质环境监测工作，根据《威海市矿山地质环境保护与治理规划（2018-2025年》，到 2025 年，基本建立市、区（市）、矿山企业矿山地质环境监测体系，全面掌握和监控全市矿山地质环境动态变化情况。矿山地质环境保护和治理的责任全面落实，生产矿山地质环境得到有效保护和及时治理。</w:t>
      </w:r>
    </w:p>
    <w:p>
      <w:pPr>
        <w:widowControl w:val="0"/>
        <w:spacing w:line="560" w:lineRule="exact"/>
        <w:ind w:firstLine="562" w:firstLineChars="200"/>
        <w:jc w:val="both"/>
        <w:rPr>
          <w:rFonts w:eastAsia="仿宋_GB2312"/>
          <w:b/>
          <w:bCs/>
          <w:color w:val="auto"/>
          <w:sz w:val="28"/>
          <w:szCs w:val="28"/>
        </w:rPr>
      </w:pPr>
      <w:r>
        <w:rPr>
          <w:rFonts w:hint="eastAsia" w:eastAsia="仿宋_GB2312"/>
          <w:b/>
          <w:bCs/>
          <w:color w:val="auto"/>
          <w:sz w:val="28"/>
          <w:szCs w:val="28"/>
        </w:rPr>
        <w:t>3</w:t>
      </w:r>
      <w:r>
        <w:rPr>
          <w:rFonts w:eastAsia="仿宋_GB2312"/>
          <w:b/>
          <w:bCs/>
          <w:color w:val="auto"/>
          <w:sz w:val="28"/>
          <w:szCs w:val="28"/>
        </w:rPr>
        <w:t>.</w:t>
      </w:r>
      <w:r>
        <w:rPr>
          <w:rFonts w:hint="eastAsia" w:eastAsia="仿宋_GB2312"/>
          <w:b/>
          <w:bCs/>
          <w:color w:val="auto"/>
          <w:sz w:val="28"/>
          <w:szCs w:val="28"/>
        </w:rPr>
        <w:t>废弃</w:t>
      </w:r>
      <w:r>
        <w:rPr>
          <w:rFonts w:eastAsia="仿宋_GB2312"/>
          <w:b/>
          <w:bCs/>
          <w:color w:val="auto"/>
          <w:sz w:val="28"/>
          <w:szCs w:val="28"/>
        </w:rPr>
        <w:t>矿山</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按照“宜平则平、宜充则充、宜深则深、宜迁则迁”，“宜粮则粮、宜林则林、宜景则景、宜渔则渔”的原则，选择使用自然恢复、工程治理、土地整治等适宜的治理方式，有计划有重点的开展历史遗留废弃矿山修复工作，以较小的成本实现治理工程经济效益、社会效益和环境效益的最大化。到2025年底，完成“2013-2017 年关停露天开采矿山”地质环境治理14处。</w:t>
      </w:r>
    </w:p>
    <w:p>
      <w:pPr>
        <w:pStyle w:val="3"/>
        <w:widowControl w:val="0"/>
        <w:ind w:firstLine="602" w:firstLineChars="200"/>
        <w:rPr>
          <w:rFonts w:ascii="楷体" w:hAnsi="楷体" w:eastAsia="楷体" w:cs="楷体"/>
          <w:bCs w:val="0"/>
          <w:color w:val="auto"/>
          <w:kern w:val="2"/>
          <w:sz w:val="30"/>
          <w:szCs w:val="30"/>
        </w:rPr>
      </w:pPr>
      <w:bookmarkStart w:id="41" w:name="_Toc79415235"/>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三</w:t>
      </w:r>
      <w:r>
        <w:rPr>
          <w:rFonts w:ascii="楷体" w:hAnsi="楷体" w:eastAsia="楷体" w:cs="楷体"/>
          <w:bCs w:val="0"/>
          <w:color w:val="auto"/>
          <w:kern w:val="2"/>
          <w:sz w:val="30"/>
          <w:szCs w:val="30"/>
        </w:rPr>
        <w:t>）创新矿山地质环境恢复治理工作机制</w:t>
      </w:r>
      <w:bookmarkEnd w:id="41"/>
    </w:p>
    <w:p>
      <w:pPr>
        <w:widowControl w:val="0"/>
        <w:spacing w:line="560" w:lineRule="exact"/>
        <w:ind w:firstLine="562" w:firstLineChars="200"/>
        <w:jc w:val="both"/>
        <w:rPr>
          <w:rFonts w:eastAsia="仿宋_GB2312"/>
          <w:b/>
          <w:bCs/>
          <w:color w:val="auto"/>
          <w:sz w:val="28"/>
          <w:szCs w:val="28"/>
        </w:rPr>
      </w:pPr>
      <w:r>
        <w:rPr>
          <w:rFonts w:eastAsia="仿宋_GB2312"/>
          <w:b/>
          <w:bCs/>
          <w:color w:val="auto"/>
          <w:sz w:val="28"/>
          <w:szCs w:val="28"/>
        </w:rPr>
        <w:t>1.</w:t>
      </w:r>
      <w:r>
        <w:rPr>
          <w:rFonts w:hint="eastAsia" w:eastAsia="仿宋_GB2312"/>
          <w:b/>
          <w:bCs/>
          <w:color w:val="auto"/>
          <w:sz w:val="28"/>
          <w:szCs w:val="28"/>
        </w:rPr>
        <w:t>健全</w:t>
      </w:r>
      <w:r>
        <w:rPr>
          <w:rFonts w:eastAsia="仿宋_GB2312"/>
          <w:b/>
          <w:bCs/>
          <w:color w:val="auto"/>
          <w:sz w:val="28"/>
          <w:szCs w:val="28"/>
        </w:rPr>
        <w:t>完善矿山地质环境</w:t>
      </w:r>
      <w:r>
        <w:rPr>
          <w:rFonts w:hint="eastAsia" w:eastAsia="仿宋_GB2312"/>
          <w:b/>
          <w:bCs/>
          <w:color w:val="auto"/>
          <w:sz w:val="28"/>
          <w:szCs w:val="28"/>
        </w:rPr>
        <w:t>恢复治理</w:t>
      </w:r>
      <w:r>
        <w:rPr>
          <w:rFonts w:eastAsia="仿宋_GB2312"/>
          <w:b/>
          <w:bCs/>
          <w:color w:val="auto"/>
          <w:sz w:val="28"/>
          <w:szCs w:val="28"/>
        </w:rPr>
        <w:t>责任机制</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健全完善矿山地质环境恢复治理组织体系，加强组织保障。自然资源、经信、环保、应急管理、财政等部门在市政府统一领导下，按照职责分工，加强合作，形成合力，加大矿山地质环境治理保护力度。将矿山地质环境治理恢复工作纳入经济社会发展和生态文明建设总体规划，各部门协调推进，确保矿山地质环境治理工作顺利进行。健全完善本区域矿山地质环境治理恢复和土地复垦制度，提供坚实有力的法制保障。</w:t>
      </w:r>
    </w:p>
    <w:p>
      <w:pPr>
        <w:widowControl w:val="0"/>
        <w:spacing w:line="560" w:lineRule="exact"/>
        <w:ind w:firstLine="562" w:firstLineChars="200"/>
        <w:jc w:val="both"/>
        <w:rPr>
          <w:rFonts w:eastAsia="仿宋_GB2312"/>
          <w:b/>
          <w:bCs/>
          <w:color w:val="auto"/>
          <w:sz w:val="28"/>
          <w:szCs w:val="28"/>
        </w:rPr>
      </w:pPr>
      <w:r>
        <w:rPr>
          <w:rFonts w:eastAsia="仿宋_GB2312"/>
          <w:b/>
          <w:bCs/>
          <w:color w:val="auto"/>
          <w:sz w:val="28"/>
          <w:szCs w:val="28"/>
        </w:rPr>
        <w:t>2.矿山地质</w:t>
      </w:r>
      <w:r>
        <w:rPr>
          <w:rFonts w:hint="eastAsia" w:eastAsia="仿宋_GB2312"/>
          <w:b/>
          <w:bCs/>
          <w:color w:val="auto"/>
          <w:sz w:val="28"/>
          <w:szCs w:val="28"/>
        </w:rPr>
        <w:t>环境治理恢复基金管理措施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通过建立基金的方式，筹集治理恢复资金。矿山企业按照满足矿山地质环境保护与土地复垦方案资金需求的原则，根据其矿山地质环境保护与土地复垦方案，将矿山地质环境恢复治理费用按照企业会计准则相关规定预计弃置费用，计入相关资产的入账成本，在预计开采年限内按照产量比例等方法摊销，并计入生产成本，在所得税前列支。同时，矿山企业需在其银行账户中设立基金账户，单独反映基金的提取情况。</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矿山企业的基金提取、使用及矿山地质环境保护与治理恢复方案的执行情况需列入矿业权人勘查开采信息公示系统。自然资源主管部门应建立动态化的监管机制，对企业矿山环境治理恢复进行监督检查，督促企业落实矿山环境治理恢复责任。</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坚持创新发展理念，积极引导社会资金、资源在矿山地质环境治理工作的投入，按照“谁治理、谁受益”的原则，探索构建矿山地质环境治理恢复新模式。将矿山地质环境恢复治理与地质灾害治理、尾矿残留矿再开发、工矿废弃地再利用、城乡建设用地增减挂钩等结合起来，切实提高矿山地质环境治理恢复成效。</w:t>
      </w: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pPr>
    </w:p>
    <w:p>
      <w:pPr>
        <w:widowControl w:val="0"/>
        <w:spacing w:line="540" w:lineRule="exact"/>
        <w:ind w:firstLine="560" w:firstLineChars="200"/>
        <w:jc w:val="both"/>
        <w:rPr>
          <w:rFonts w:eastAsia="仿宋_GB2312"/>
          <w:color w:val="auto"/>
          <w:kern w:val="2"/>
          <w:sz w:val="28"/>
          <w:szCs w:val="28"/>
        </w:rPr>
        <w:sectPr>
          <w:pgSz w:w="11906" w:h="16838"/>
          <w:pgMar w:top="1440" w:right="1797" w:bottom="1440" w:left="1797" w:header="709" w:footer="709" w:gutter="0"/>
          <w:cols w:space="708" w:num="1"/>
          <w:docGrid w:linePitch="360" w:charSpace="0"/>
        </w:sectPr>
      </w:pPr>
    </w:p>
    <w:p>
      <w:pPr>
        <w:pStyle w:val="2"/>
        <w:widowControl w:val="0"/>
        <w:spacing w:before="360" w:after="360" w:line="360" w:lineRule="auto"/>
        <w:ind w:firstLine="640" w:firstLineChars="200"/>
        <w:jc w:val="both"/>
        <w:rPr>
          <w:rFonts w:ascii="黑体" w:hAnsi="黑体" w:eastAsia="黑体" w:cs="黑体"/>
          <w:b w:val="0"/>
          <w:bCs w:val="0"/>
          <w:color w:val="auto"/>
          <w:kern w:val="2"/>
          <w:sz w:val="32"/>
          <w:szCs w:val="32"/>
        </w:rPr>
      </w:pPr>
      <w:bookmarkStart w:id="42" w:name="_Toc79415236"/>
      <w:r>
        <w:rPr>
          <w:rFonts w:hint="eastAsia" w:ascii="黑体" w:hAnsi="黑体" w:eastAsia="黑体" w:cs="黑体"/>
          <w:b w:val="0"/>
          <w:bCs w:val="0"/>
          <w:color w:val="auto"/>
          <w:kern w:val="2"/>
          <w:sz w:val="32"/>
          <w:szCs w:val="32"/>
        </w:rPr>
        <w:t>七、规划环境影响评价</w:t>
      </w:r>
      <w:bookmarkEnd w:id="42"/>
    </w:p>
    <w:p>
      <w:pPr>
        <w:pStyle w:val="3"/>
        <w:widowControl w:val="0"/>
        <w:ind w:firstLine="602" w:firstLineChars="200"/>
        <w:rPr>
          <w:rFonts w:ascii="楷体" w:hAnsi="楷体" w:eastAsia="楷体" w:cs="楷体"/>
          <w:bCs w:val="0"/>
          <w:color w:val="auto"/>
          <w:kern w:val="2"/>
          <w:sz w:val="30"/>
          <w:szCs w:val="30"/>
        </w:rPr>
      </w:pPr>
      <w:bookmarkStart w:id="43" w:name="_Toc79415237"/>
      <w:r>
        <w:rPr>
          <w:rFonts w:hint="eastAsia" w:ascii="楷体" w:hAnsi="楷体" w:eastAsia="楷体" w:cs="楷体"/>
          <w:bCs w:val="0"/>
          <w:color w:val="auto"/>
          <w:kern w:val="2"/>
          <w:sz w:val="30"/>
          <w:szCs w:val="30"/>
        </w:rPr>
        <w:t>（一）环境现状评价</w:t>
      </w:r>
      <w:bookmarkEnd w:id="43"/>
    </w:p>
    <w:p>
      <w:pPr>
        <w:spacing w:line="54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威海市主要矿产为金、铁、银、饰面用花岗岩、建筑用花岗岩和地热、矿泉水等。</w:t>
      </w:r>
    </w:p>
    <w:p>
      <w:pPr>
        <w:spacing w:line="54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全市矿产资源勘查点多面广，污染源小而分散；勘查工程活动会对地表景观产生破坏并对自然生态环境带来改变，但破坏面积小且分散。</w:t>
      </w:r>
    </w:p>
    <w:p>
      <w:pPr>
        <w:spacing w:line="540" w:lineRule="exact"/>
        <w:ind w:firstLine="560" w:firstLineChars="200"/>
        <w:rPr>
          <w:color w:val="auto"/>
        </w:rPr>
      </w:pPr>
      <w:r>
        <w:rPr>
          <w:rFonts w:hint="eastAsia" w:ascii="仿宋_GB2312" w:eastAsia="仿宋_GB2312"/>
          <w:color w:val="auto"/>
          <w:sz w:val="28"/>
          <w:szCs w:val="28"/>
        </w:rPr>
        <w:t>全市矿产资源开采方式金属矿、地热、矿泉水以地下开采为主，花岗岩类矿产以露天开采为主，存在的主要矿山地质环境问题有以下几种：一是露天开采形成的破损山体和露天采坑，造成地形地貌景观破坏，带来严重视觉污染，露天开采过程中产生粉尘、噪声和震动扰民等环境问题；二是地下开采产生的采空塌陷及隐患；三是固体废弃物堆放占压土地资源，造成土地资源的浪费。</w:t>
      </w:r>
    </w:p>
    <w:p>
      <w:pPr>
        <w:pStyle w:val="3"/>
        <w:widowControl w:val="0"/>
        <w:ind w:firstLine="602" w:firstLineChars="200"/>
        <w:rPr>
          <w:rFonts w:ascii="楷体" w:hAnsi="楷体" w:eastAsia="楷体" w:cs="楷体"/>
          <w:bCs w:val="0"/>
          <w:color w:val="auto"/>
          <w:kern w:val="2"/>
          <w:sz w:val="30"/>
          <w:szCs w:val="30"/>
        </w:rPr>
      </w:pPr>
      <w:bookmarkStart w:id="44" w:name="_Toc79415238"/>
      <w:r>
        <w:rPr>
          <w:rFonts w:hint="eastAsia" w:ascii="楷体" w:hAnsi="楷体" w:eastAsia="楷体" w:cs="楷体"/>
          <w:bCs w:val="0"/>
          <w:color w:val="auto"/>
          <w:kern w:val="2"/>
          <w:sz w:val="30"/>
          <w:szCs w:val="30"/>
        </w:rPr>
        <w:t>（二）规划协调性分析</w:t>
      </w:r>
      <w:bookmarkEnd w:id="44"/>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威海市矿产资源总体规划（2021—2025年）》（以下简称《规划》）是根据山东省、威海市“十四五”矿产资源经济发展方向，结合威海市区域资源特点，在矿产资源勘查开发与资源产业布局，矿产资源勘查开发利用与保护，矿山地质的环境保护与恢复治理，绿色矿业方面提出了具体要求。《规划》与《山东省国民经济和社会发展第十四个五年规划和2035年远景目标纲要》、《威海市国民经济和社会发展第十四个五年规划和二</w:t>
      </w:r>
      <w:r>
        <w:rPr>
          <w:rFonts w:hint="eastAsia" w:ascii="宋体" w:hAnsi="宋体" w:cs="宋体"/>
          <w:color w:val="auto"/>
          <w:kern w:val="2"/>
          <w:sz w:val="28"/>
          <w:szCs w:val="28"/>
        </w:rPr>
        <w:t>〇</w:t>
      </w:r>
      <w:r>
        <w:rPr>
          <w:rFonts w:hint="eastAsia" w:ascii="仿宋_GB2312" w:hAnsi="仿宋_GB2312" w:eastAsia="仿宋_GB2312" w:cs="仿宋_GB2312"/>
          <w:color w:val="auto"/>
          <w:kern w:val="2"/>
          <w:sz w:val="28"/>
          <w:szCs w:val="28"/>
        </w:rPr>
        <w:t>三五年远景目标纲要</w:t>
      </w:r>
      <w:r>
        <w:rPr>
          <w:rFonts w:hint="eastAsia" w:eastAsia="仿宋_GB2312"/>
          <w:color w:val="auto"/>
          <w:kern w:val="2"/>
          <w:sz w:val="28"/>
          <w:szCs w:val="28"/>
        </w:rPr>
        <w:t>》方向相符，通过实施规划项目可以促进威海市矿业开发健康、有序、可持续发展。</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参照了《山东省矿产资源总体规划（2021—2025年）》、《威海市国土空间总体规划》(2019—2035年)、《威海市环境总体规划（2014-2030年）》、《威海市矿山地质环境保护与治理规划（2018—2025）》等，充分考虑了与相关规划的协调性。规划做到了与国土空间规划在土地使用政策上的协调性、与环境总体规划在生态建设制定目标上的协调性、与地质灾害防治规划制定的目标有较高的协调性。</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《规划》中勘查、开采规划区块不涉及生态保护红线。</w:t>
      </w:r>
    </w:p>
    <w:p>
      <w:pPr>
        <w:pStyle w:val="3"/>
        <w:widowControl w:val="0"/>
        <w:ind w:firstLine="602" w:firstLineChars="200"/>
        <w:rPr>
          <w:rFonts w:ascii="楷体" w:hAnsi="楷体" w:eastAsia="楷体" w:cs="楷体"/>
          <w:bCs w:val="0"/>
          <w:color w:val="auto"/>
          <w:kern w:val="2"/>
          <w:sz w:val="30"/>
          <w:szCs w:val="30"/>
        </w:rPr>
      </w:pPr>
      <w:bookmarkStart w:id="45" w:name="_Toc79415239"/>
      <w:r>
        <w:rPr>
          <w:rFonts w:hint="eastAsia" w:ascii="楷体" w:hAnsi="楷体" w:eastAsia="楷体" w:cs="楷体"/>
          <w:bCs w:val="0"/>
          <w:color w:val="auto"/>
          <w:kern w:val="2"/>
          <w:sz w:val="30"/>
          <w:szCs w:val="30"/>
        </w:rPr>
        <w:t>（三）规划环境影响分析</w:t>
      </w:r>
      <w:bookmarkEnd w:id="45"/>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基于威海市矿山地质环境现状调查，本次评价对大气环境、地表水地下水环境、声环境、固体废弃物环境和生态环境等方面的影响进行分析。</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1.大气环境影响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实施后大气污染源主要为露天开采过程中爆破、铲装、运输等作业粉尘，井下开采过程中产生的炮烟、粉尘以及矿石堆场、废石场运输扬尘等，对各污染源要提出针对性的环保治理措施，采取相应的措施后，对区域大气环境影响较小。</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2.地下水环境影响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（1）矿山开采对地下水资源的影响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矿产资源开发过程中往往需要对矿床进行疏干排水，特别是地下开采长期大量的抽排地下水会降低地下水位，严重的还会形成地下漏斗区，破坏地下水系统，导致地面沉降和地面塌陷；另一方面，大量地下水资源因地层破坏而渗漏矿井并被排出，矿井水可能对矿区周边环境形成新的污染。因此，在矿产开发与利用中要特别注意上述问题，实行先探后采，加强地下水动态调查和污染的监测，使矿床开采对地下水的影响降至最低。对于地热、矿泉水矿区严格设定开采量，在取得取水许可证的情况下合理开采。</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（2）对居民饮用水源的影响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矿产资源开发过程中对居民饮用水源没有影响或影响较小，对居民供水水源的水量基本不会受到影响。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3.地表水环境影响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（1）规划项目取水对地表水资源的影响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规划区内矿产资源分布全市，宜采用分散供水方式。井下开采矿山运营期间大部分有矿井涌水产生，可优先利用矿井涌水作为生产用水，较少取用地表水，对地表水资源影响很小。</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（2）对饮用水源地的影响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严格执行矿产资源开发利用绿色环保等准入条件要求。正常情况下矿产开发活动能远离集中式饮用水源地，对其影响较小，但矿山开发发生污染事故时，有可能对饮用水源地造成污染隐患，因此评价要求规划实施时必须高度重视环境风险防范，做好集中饮用水源地保护区周边或上游矿区的事故应急处理，确保饮用水源安全。</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4.声环境影响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在未采取噪声污染防治措施前、露天和地下开采噪声影响范围一般均在200m，规划区内各工矿企业均位于农村地区，评价要求各建设单位严格落实各项目噪声防治措施，一般情况下能降低噪声10-30B(A)，可减轻噪声对周围环境的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5.固体废弃物环境影响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矿山建设期工业固体废弃物主要来自三个方面，一是地下开采井巷开拓产生的基建废石；二是地面施工剥离产生的表土，三是露天剥离、开采产生的废石。</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规划实施后各矿山运营期矿产资源开发时产生的固体废弃物主要有剥离表土、废（土）石和生活垃圾等。各堆场在严格执行相关的环保措施后，固体废弃物对周围环境影响小。</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6.生态环境影响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矿区开发引起的生态破坏表现为：对地形地貌的影响，露天矿开挖后采场将形成较大采坑，外排土场堆积剥离物后将形成人造土石丘，对地形地貌的影响较大；对土地利用的影响，露天矿开采以及排土场对土地资源的压占，造成土地利用属性变化；对动植物的影响，矿区开采后影响了绿色植物生长发育，改变了动物的捕食、繁殖及栖息环境；对土壤环境的影响，矿区开发使地表植被遭到破坏，松散的泥土和岩石暴露在地表，大大加剧了土壤的侵蚀风化，造成水土流失，开采矿山的尾矿粉尘飞扬进入土壤，经雨水冲刷淋溶，致使有毒有害成分进入土壤，造成土壤污染。</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但是随着生态恢复工作的逐步推进，开采过程中应制订合理的生态修复方案，逐渐恢复、改善区域的生态环境。</w:t>
      </w:r>
    </w:p>
    <w:p>
      <w:pPr>
        <w:pStyle w:val="3"/>
        <w:widowControl w:val="0"/>
        <w:ind w:firstLine="602" w:firstLineChars="200"/>
        <w:rPr>
          <w:rFonts w:ascii="楷体" w:hAnsi="楷体" w:eastAsia="楷体" w:cs="楷体"/>
          <w:bCs w:val="0"/>
          <w:color w:val="auto"/>
          <w:kern w:val="2"/>
          <w:sz w:val="30"/>
          <w:szCs w:val="30"/>
        </w:rPr>
      </w:pPr>
      <w:bookmarkStart w:id="46" w:name="_Toc79415240"/>
      <w:r>
        <w:rPr>
          <w:rFonts w:hint="eastAsia" w:ascii="楷体" w:hAnsi="楷体" w:eastAsia="楷体" w:cs="楷体"/>
          <w:bCs w:val="0"/>
          <w:color w:val="auto"/>
          <w:kern w:val="2"/>
          <w:sz w:val="30"/>
          <w:szCs w:val="30"/>
        </w:rPr>
        <w:t>（四）预防和减轻不良环境影响的对策措施</w:t>
      </w:r>
      <w:bookmarkEnd w:id="46"/>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1.大气污染防治措施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爆破粉尘：矿山爆破过程中对预爆区洒水预湿，爆破之后矿岩的装载、运输、卸矿等生产过程和地点均采取水清洗或喷雾洒水。</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凿岩粉尘：地下开采时井下工作面采取粉尘控制措施，作业人员工作时必须佩带防尘口罩。</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破碎筛分粉尘：实施密封和安装袋式除尘装置，皮带廊、给矿架头使用喷水控制，地面喷水防止粉尘二次飞扬。</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运输扬尘：采取洒水抑尘措施，汽车应在矿区低车速，减少道路起尘。</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尾矿库采取的防治措施：安装洒水、喷洒装置，尾矿库坝体永久性平台边坡及时复垦，尾矿库服务期满对库面及时复垦。</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2.地下水污染防治措施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地下水位及矿坑涌水量控制：应采取冻结、注浆等防渗漏措施，防止形成涌水通道，致使水大量涌入井下。</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开展矿坑水量计量及水位观测：加强对周围地下水动态监测数据分析研究，及时对可能产生的不利情况进行综合治理。</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加强矿区污染源的监测：加强对水源井的管理，严禁在水井位置周围100m 范围内设置影响地下水环境的设施；对矿区矿井水、工业废水或生活污水，一定要切实落实处理回用措施，严禁就地排放，防止地下水污染。</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3.地表水污染防治措施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生产废水：需单独对除矿坑疏干水、选矿废水以外的其他工业废水进行简单处理，回用于露天采区洒水、道路洒水等，禁止直接排入区域内任何地表水体。</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废石淋溶水：在废石场周边设置导流渠和集排水设施，以减少废石淋溶水产生量。</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生活污水：根据矿区周边环境状况，矿区产生的生活污水主要采取收集后经三级化粪池处理后积肥或经小型地埋式污水处理设施处理达标后回用于道路浇洒或绿化。</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4.声环境影响防治措施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根据《工业企业厂界环境噪声排放标准》（GB12348-2008）中的三类标准，合理安排运输计划和工业场地内设施布局，并结合选取低噪设备，采取减震、隔声、消声、吸声等措施处理后，使矿山开采过程中噪声污染源对声环境质量的影响可满足各类声环境功能区划的要求。</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5.固体废物处理处置措施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废石堆场、尾矿库应采取防止粉尘污染的措施。废石堆场、尾矿库场地周边应设置导流渠。运营期应加强废石堆场、尾矿库管理，严禁危险废物混入尾矿库、废石排土场。服务期满后及时对尾矿库和废石堆场进行复垦。</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6.生态恢复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对于临时占地和新开辟的临时便道等破坏区，竣工后要及时进行土地平整，耕翻疏松（机械碾压后的土地，要求深翻地表(30-40cm) ）等土地复垦工作，恢复土地原有实用功能。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工业场地生产、生活设施建成完成后，应根据工业场地布局对其周围进行绿化，对于工程扰动的边坡等水蚀强烈的地段，为避免产生新的水土流失，应采取护坡、排水等相应的工程。</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按照“达标排放，总量控制”原则，提高矿山“三废”处理能力和循环利用率，做到矿山“三废”达标排放。</w:t>
      </w:r>
    </w:p>
    <w:p>
      <w:pPr>
        <w:pStyle w:val="3"/>
        <w:widowControl w:val="0"/>
        <w:ind w:firstLine="602" w:firstLineChars="200"/>
        <w:rPr>
          <w:rFonts w:ascii="楷体" w:hAnsi="楷体" w:eastAsia="楷体" w:cs="楷体"/>
          <w:bCs w:val="0"/>
          <w:color w:val="auto"/>
          <w:kern w:val="2"/>
          <w:sz w:val="30"/>
          <w:szCs w:val="30"/>
        </w:rPr>
      </w:pPr>
      <w:bookmarkStart w:id="47" w:name="_Toc79415241"/>
      <w:r>
        <w:rPr>
          <w:rFonts w:hint="eastAsia" w:ascii="楷体" w:hAnsi="楷体" w:eastAsia="楷体" w:cs="楷体"/>
          <w:bCs w:val="0"/>
          <w:color w:val="auto"/>
          <w:kern w:val="2"/>
          <w:sz w:val="30"/>
          <w:szCs w:val="30"/>
        </w:rPr>
        <w:t>（五）矿区生态保护修复与治理目标安排的合理性</w:t>
      </w:r>
      <w:bookmarkEnd w:id="47"/>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本次规划对矿区生态保护修复与治理的目标：新建矿山必须达到绿色矿山标准；生产矿山严格落实地质环境恢复治理与土地复垦方案，依据“边开采、边治理、边恢复”的原则，对矿山地质环境问题和占损土地进行治理恢复；闭坑矿山根据“谁开发、谁保护，谁破坏、谁恢复”的治理原则，履行矿山地质环境恢复治理与土地复垦责任；废弃矿山完善市场化、多元化补偿机制，构建“政府主导、政策扶持、社会参与、开发式治理、市场化运作”的矿山地质环境保护与治理新模式，有计划有重点的开展历史遗留废弃矿山修复工作，以较小的成本实现治理工程经济效益、社会效益和环境效益的最大化。完成《威海市矿山地质环境保护与治理规划（2018-2025 年）》“2013 -2017年关停露天开采矿山”地质环境治理14处。</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本次规划针对本区域矿产资源分布和矿山的特点，结合了省、市国民经济发展纲要和本地经济发展水平，在分析了矿产开发利用的各个环节对生态、地表水、地下水、大气、土地利用和土壤环境等影响，提出了矿区生态保护修复与治理的对策措施，提出了矿区生态保护修复与治理的目标。规划明确了矿区地质环境治理主体责任，强化了对采矿权人主体责任的社会监督和执法监管，检查结果定期向社会公示。规范矿山地质环境治理恢复治理基金使用，强化矿山地质环境监测工作；制定鼓励矿山企业治理矿山地质环境的优惠政策，保障矿山地质环境治理恢复工作的有效开展。因此矿区生态保护修复与治理目标的安排具科学性、合理性和可操作性。</w:t>
      </w:r>
    </w:p>
    <w:p>
      <w:pPr>
        <w:pStyle w:val="3"/>
        <w:widowControl w:val="0"/>
        <w:ind w:firstLine="602" w:firstLineChars="200"/>
        <w:rPr>
          <w:rFonts w:ascii="楷体" w:hAnsi="楷体" w:eastAsia="楷体" w:cs="楷体"/>
          <w:bCs w:val="0"/>
          <w:color w:val="auto"/>
          <w:kern w:val="2"/>
          <w:sz w:val="30"/>
          <w:szCs w:val="30"/>
        </w:rPr>
      </w:pPr>
      <w:bookmarkStart w:id="48" w:name="_Toc79415242"/>
      <w:r>
        <w:rPr>
          <w:rFonts w:hint="eastAsia" w:ascii="楷体" w:hAnsi="楷体" w:eastAsia="楷体" w:cs="楷体"/>
          <w:bCs w:val="0"/>
          <w:color w:val="auto"/>
          <w:kern w:val="2"/>
          <w:sz w:val="30"/>
          <w:szCs w:val="30"/>
        </w:rPr>
        <w:t>（六）规划准入条件的有效性</w:t>
      </w:r>
      <w:bookmarkEnd w:id="48"/>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《规划》所提的准入条件主要有绿色勘查、资源开采规模条件、开发利用水平、开采服务年限、绿色矿山建设、矿区生态保护修复。</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绿色勘查，要求绿色内容融入矿产资源勘查设计和施工，技术方案体现环保内容，施工落实环保技术到位，事后及时恢复治理，绿色贯穿勘查工作始终；资源开采规模条件，体现矿山开采规模必须与矿区（床）资源储量规模相适应，必须达到限定的最低开采规模要求，符合规模生产、集约经营的原则；开发利用水平，要求矿山符合开采设计或矿产开发利用方案相关要求，各项指标达标；新建矿山服务年限须符合限定的最低生产服务年限；绿色矿山建设，在限定的期限内达到绿色建设标准，纳入国家、省级绿色矿山目录；严格执行矿区生态保护修复和治理方案，全面落实治理责任，使得矿山“采前有规划，过程能控制，采后可修复”。规划准入条件为整个矿产资源勘探、开采、生态保护修复各个阶段确定了控制标准，从而提高矿产资源开发利用有效性。</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和省规划相比，提高了建筑用花岗岩、饰面用花岗岩等非金属矿产的最低开采规模和服务年限，固体矿产大中型矿山比例、绿色矿业发展大中小型矿山绿色矿山达标比例均与省规划要求一致。规划的实施有利于规范威海市非金属矿产资源的保护开发，促进区域生态保护和经济发展。</w:t>
      </w:r>
    </w:p>
    <w:p>
      <w:pPr>
        <w:pStyle w:val="3"/>
        <w:widowControl w:val="0"/>
        <w:ind w:firstLine="602" w:firstLineChars="200"/>
        <w:rPr>
          <w:rFonts w:ascii="楷体" w:hAnsi="楷体" w:eastAsia="楷体" w:cs="楷体"/>
          <w:bCs w:val="0"/>
          <w:color w:val="auto"/>
          <w:kern w:val="2"/>
          <w:sz w:val="30"/>
          <w:szCs w:val="30"/>
        </w:rPr>
      </w:pPr>
      <w:bookmarkStart w:id="49" w:name="_Toc79415243"/>
      <w:r>
        <w:rPr>
          <w:rFonts w:hint="eastAsia" w:ascii="楷体" w:hAnsi="楷体" w:eastAsia="楷体" w:cs="楷体"/>
          <w:bCs w:val="0"/>
          <w:color w:val="auto"/>
          <w:kern w:val="2"/>
          <w:sz w:val="30"/>
          <w:szCs w:val="30"/>
        </w:rPr>
        <w:t>（七）环境影响评价结论</w:t>
      </w:r>
      <w:bookmarkEnd w:id="49"/>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规划》在勘查开发与保护布局、矿产资源开发利用与保护、矿山地质环境保护与恢复治理和绿色矿业方面提出的具体要求与国家、地区产业政策和上级规划相符，规划的实施可促进矿山所在区域的环境保护和经济发展。《规划》项目的实施会对大气、水、声、固废、生态和环境带来一定不利影响，不可避免会对环境带来一定压力，但可通过污染控制措施、生态保护策略、加强管理、公众参与监督等措施将其控制在可控范围之内，从源头上缓解和消除不利影响，对减少当地生态环境影响有积极意义。在采取相应的污染防治措施和生态恢复措施后，规划实施对环境治理恢复是合理的，制定的开采规划准入条件是有效的，从环境保护和可持续发展角度分析，《规划》是可行的。</w:t>
      </w:r>
    </w:p>
    <w:p>
      <w:pPr>
        <w:pStyle w:val="2"/>
        <w:widowControl w:val="0"/>
        <w:spacing w:before="360" w:after="360" w:line="360" w:lineRule="auto"/>
        <w:ind w:firstLine="640" w:firstLineChars="200"/>
        <w:jc w:val="both"/>
        <w:rPr>
          <w:rFonts w:ascii="黑体" w:hAnsi="黑体" w:eastAsia="黑体" w:cs="黑体"/>
          <w:b w:val="0"/>
          <w:bCs w:val="0"/>
          <w:color w:val="auto"/>
          <w:kern w:val="2"/>
          <w:sz w:val="32"/>
          <w:szCs w:val="32"/>
        </w:rPr>
      </w:pPr>
      <w:bookmarkStart w:id="50" w:name="_Toc79415244"/>
      <w:r>
        <w:rPr>
          <w:rFonts w:hint="eastAsia" w:ascii="黑体" w:hAnsi="黑体" w:eastAsia="黑体" w:cs="黑体"/>
          <w:b w:val="0"/>
          <w:bCs w:val="0"/>
          <w:color w:val="auto"/>
          <w:kern w:val="2"/>
          <w:sz w:val="32"/>
          <w:szCs w:val="32"/>
        </w:rPr>
        <w:t>八、环翠区规划专篇</w:t>
      </w:r>
      <w:bookmarkEnd w:id="50"/>
    </w:p>
    <w:p>
      <w:pPr>
        <w:pStyle w:val="3"/>
        <w:widowControl w:val="0"/>
        <w:ind w:firstLine="602" w:firstLineChars="200"/>
        <w:rPr>
          <w:rFonts w:ascii="楷体" w:hAnsi="楷体" w:eastAsia="楷体" w:cs="楷体"/>
          <w:bCs w:val="0"/>
          <w:color w:val="auto"/>
          <w:kern w:val="2"/>
          <w:sz w:val="30"/>
          <w:szCs w:val="30"/>
        </w:rPr>
      </w:pPr>
      <w:bookmarkStart w:id="51" w:name="_Toc79415245"/>
      <w:r>
        <w:rPr>
          <w:rFonts w:hint="eastAsia" w:ascii="楷体" w:hAnsi="楷体" w:eastAsia="楷体" w:cs="楷体"/>
          <w:bCs w:val="0"/>
          <w:color w:val="auto"/>
          <w:kern w:val="2"/>
          <w:sz w:val="30"/>
          <w:szCs w:val="30"/>
        </w:rPr>
        <w:t>（一）环翠区规划范围</w:t>
      </w:r>
      <w:bookmarkEnd w:id="51"/>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环翠区规划范围包括环翠区、高区（威海火炬高技术产业开发区）、经区（威海经济技术开发区）和临港区（威海临港经济技术开发区）四区。</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四区可供开发的矿产种类少且产业较为简单，按照要求，安排专门章节对未开展规划的区县矿业活动进行计划安排。</w:t>
      </w:r>
    </w:p>
    <w:p>
      <w:pPr>
        <w:pStyle w:val="3"/>
        <w:widowControl w:val="0"/>
        <w:ind w:firstLine="602" w:firstLineChars="200"/>
        <w:rPr>
          <w:rFonts w:ascii="楷体" w:hAnsi="楷体" w:eastAsia="楷体" w:cs="楷体"/>
          <w:bCs w:val="0"/>
          <w:color w:val="auto"/>
          <w:kern w:val="2"/>
          <w:sz w:val="30"/>
          <w:szCs w:val="30"/>
        </w:rPr>
      </w:pPr>
      <w:bookmarkStart w:id="52" w:name="_Toc79415246"/>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二</w:t>
      </w:r>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矿产资源勘查开发利用与生态保护现状</w:t>
      </w:r>
      <w:bookmarkEnd w:id="52"/>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1.矿产资源概况</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截至2020年底，环翠区四区内已发现矿种15种(含亚矿种)，列入《山东省矿产资源储量表》的矿产11种。四区现有矿产地24处，其中大型1处，中型1处，小型22处。矿床规摸以小型为主，大、中型较少，支柱性矿产为地热，为环翠区经济社会发展提供了重要的物质基础。</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2.矿产资源勘查</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截至2020年底，环翠区四区共有探矿权6个，其中金矿5个、矿泉水1个，登记面积15.01平方千米。</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3.矿产资源开发利用与保护</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截至2020年底环翠区四区目前开发的矿产只有地热和矿泉水。环翠区四区共有矿山9个，其中：地热8个，矿泉水1个；中型 1个，小型8个。年开采地热31.18万立方米、矿泉水3.0万立方米。</w:t>
      </w:r>
    </w:p>
    <w:p>
      <w:pPr>
        <w:widowControl w:val="0"/>
        <w:spacing w:line="560" w:lineRule="exact"/>
        <w:ind w:firstLine="560" w:firstLineChars="200"/>
        <w:jc w:val="both"/>
        <w:rPr>
          <w:rFonts w:eastAsia="仿宋_GB2312"/>
          <w:bCs/>
          <w:color w:val="auto"/>
          <w:sz w:val="28"/>
          <w:szCs w:val="28"/>
        </w:rPr>
      </w:pPr>
      <w:r>
        <w:rPr>
          <w:rFonts w:hint="eastAsia" w:eastAsia="仿宋_GB2312"/>
          <w:bCs/>
          <w:color w:val="auto"/>
          <w:sz w:val="28"/>
          <w:szCs w:val="28"/>
        </w:rPr>
        <w:t>4</w:t>
      </w:r>
      <w:r>
        <w:rPr>
          <w:rFonts w:eastAsia="仿宋_GB2312"/>
          <w:bCs/>
          <w:color w:val="auto"/>
          <w:sz w:val="28"/>
          <w:szCs w:val="28"/>
        </w:rPr>
        <w:t>.</w:t>
      </w:r>
      <w:r>
        <w:rPr>
          <w:rFonts w:hint="eastAsia" w:ascii="仿宋_GB2312" w:eastAsia="仿宋_GB2312"/>
          <w:color w:val="auto"/>
          <w:sz w:val="28"/>
          <w:szCs w:val="28"/>
        </w:rPr>
        <w:t>生态保护与</w:t>
      </w:r>
      <w:r>
        <w:rPr>
          <w:rFonts w:hint="eastAsia" w:eastAsia="仿宋_GB2312"/>
          <w:bCs/>
          <w:color w:val="auto"/>
          <w:sz w:val="28"/>
          <w:szCs w:val="28"/>
        </w:rPr>
        <w:t>矿业绿色发展现状</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《威海市矿山地质环境保护与治理规划</w:t>
      </w:r>
      <w:r>
        <w:rPr>
          <w:rFonts w:eastAsia="仿宋_GB2312"/>
          <w:color w:val="auto"/>
          <w:kern w:val="2"/>
          <w:sz w:val="28"/>
          <w:szCs w:val="28"/>
        </w:rPr>
        <w:t>(2018-2025)</w:t>
      </w:r>
      <w:r>
        <w:rPr>
          <w:rFonts w:hint="eastAsia" w:eastAsia="仿宋_GB2312"/>
          <w:color w:val="auto"/>
          <w:kern w:val="2"/>
          <w:sz w:val="28"/>
          <w:szCs w:val="28"/>
        </w:rPr>
        <w:t>》实施以来，环翠区已完成“三区两线”可视范围内的废弃矿山治理16 处，矿山地质环境恢复治理面积83.12公顷，矿山地质环境治理率100%；“2013-2017 年以来关停露天开采矿山”应治理7处，已治理6处，矿山地质环境应恢复治理面积32.59公顷，已恢复治理面积23.19公顷，矿山地质环境治理率71.16%。</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绿色矿山建设正积极推进。</w:t>
      </w:r>
    </w:p>
    <w:p>
      <w:pPr>
        <w:pStyle w:val="3"/>
        <w:widowControl w:val="0"/>
        <w:ind w:firstLine="602" w:firstLineChars="200"/>
        <w:rPr>
          <w:rFonts w:ascii="楷体" w:hAnsi="楷体" w:eastAsia="楷体" w:cs="楷体"/>
          <w:bCs w:val="0"/>
          <w:color w:val="auto"/>
          <w:kern w:val="2"/>
          <w:sz w:val="30"/>
          <w:szCs w:val="30"/>
        </w:rPr>
      </w:pPr>
      <w:bookmarkStart w:id="53" w:name="_Toc79415247"/>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三</w:t>
      </w:r>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第三轮矿产资源</w:t>
      </w:r>
      <w:r>
        <w:rPr>
          <w:rFonts w:ascii="楷体" w:hAnsi="楷体" w:eastAsia="楷体" w:cs="楷体"/>
          <w:bCs w:val="0"/>
          <w:color w:val="auto"/>
          <w:kern w:val="2"/>
          <w:sz w:val="30"/>
          <w:szCs w:val="30"/>
        </w:rPr>
        <w:t>规划实施成效</w:t>
      </w:r>
      <w:bookmarkEnd w:id="53"/>
    </w:p>
    <w:p>
      <w:pPr>
        <w:widowControl w:val="0"/>
        <w:spacing w:line="540" w:lineRule="exact"/>
        <w:ind w:firstLine="560" w:firstLineChars="200"/>
        <w:jc w:val="both"/>
        <w:rPr>
          <w:rFonts w:ascii="仿宋_GB2312" w:hAnsi="楷体" w:eastAsia="仿宋_GB2312" w:cs="楷体"/>
          <w:color w:val="auto"/>
          <w:kern w:val="2"/>
          <w:sz w:val="28"/>
          <w:szCs w:val="28"/>
        </w:rPr>
      </w:pPr>
      <w:r>
        <w:rPr>
          <w:rFonts w:hint="eastAsia" w:ascii="仿宋_GB2312" w:eastAsia="仿宋_GB2312"/>
          <w:color w:val="auto"/>
          <w:kern w:val="2"/>
          <w:sz w:val="28"/>
          <w:szCs w:val="28"/>
        </w:rPr>
        <w:t>《威海市环翠区矿产资源总体规划（2016</w:t>
      </w:r>
      <w:r>
        <w:rPr>
          <w:rFonts w:hint="eastAsia" w:ascii="仿宋_GB2312" w:hAnsi="宋体" w:cs="宋体"/>
          <w:color w:val="auto"/>
          <w:kern w:val="2"/>
          <w:sz w:val="28"/>
          <w:szCs w:val="28"/>
        </w:rPr>
        <w:t>―</w:t>
      </w:r>
      <w:r>
        <w:rPr>
          <w:rFonts w:hint="eastAsia" w:ascii="仿宋_GB2312" w:eastAsia="仿宋_GB2312"/>
          <w:color w:val="auto"/>
          <w:kern w:val="2"/>
          <w:sz w:val="28"/>
          <w:szCs w:val="28"/>
        </w:rPr>
        <w:t>2020年）</w:t>
      </w:r>
      <w:r>
        <w:rPr>
          <w:rFonts w:hint="eastAsia" w:ascii="仿宋_GB2312" w:hAnsi="楷体" w:eastAsia="仿宋_GB2312" w:cs="楷体"/>
          <w:color w:val="auto"/>
          <w:kern w:val="2"/>
          <w:sz w:val="28"/>
          <w:szCs w:val="28"/>
        </w:rPr>
        <w:t>实施以来，基础性公益性地质调查稳步推进，优势矿产资源地热勘查开发保护格局持续优化，矿产资源节约与综合利用水平不断提高，矿山地质环境保护与治理恢复得到加强，矿业绿色发展格局逐步建立。</w:t>
      </w:r>
    </w:p>
    <w:p>
      <w:pPr>
        <w:widowControl w:val="0"/>
        <w:spacing w:line="540" w:lineRule="exact"/>
        <w:ind w:firstLine="560" w:firstLineChars="200"/>
        <w:jc w:val="both"/>
        <w:rPr>
          <w:rFonts w:eastAsia="仿宋_GB2312"/>
          <w:color w:val="auto"/>
          <w:kern w:val="2"/>
          <w:sz w:val="28"/>
          <w:szCs w:val="28"/>
        </w:rPr>
      </w:pPr>
      <w:r>
        <w:rPr>
          <w:rFonts w:hint="eastAsia" w:ascii="仿宋_GB2312" w:hAnsi="楷体" w:eastAsia="仿宋_GB2312" w:cs="楷体"/>
          <w:color w:val="auto"/>
          <w:kern w:val="2"/>
          <w:sz w:val="28"/>
          <w:szCs w:val="28"/>
        </w:rPr>
        <w:t>1.基础性公益性地质工作稳步推进。完成了环翠区四区城镇化扩展区城市水、工、环地质调查和地热资源可行性勘查</w:t>
      </w:r>
      <w:r>
        <w:rPr>
          <w:rFonts w:hint="eastAsia" w:eastAsia="仿宋_GB2312"/>
          <w:color w:val="auto"/>
          <w:kern w:val="2"/>
          <w:sz w:val="28"/>
          <w:szCs w:val="28"/>
        </w:rPr>
        <w:t>。</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 矿产资源开发保护格局不断优化。“十三五”期间，对全区开发矿种实行矿产资源开采总量调控，持续整顿规范矿产资源开发秩序，建立重要矿产最低开采规模准入制度；四区矿山数量由2015年的17个压减至2020年的9个，通过自然保护地和生态红线的优化整合以及矿业权范围的调整，基本解决了生态环境保护与矿业开发的矛盾，矿产资源勘查开发保护格局、矿业秩序不断优化。</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 矿产资源集约节约与高效利用水平显著提高。重要矿产“三率”水平明显提高。地热平均开采回采率达到99%，矿泉水平均开采回采率达到99%。</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4. 矿业绿色发展格局逐步建立。矿山正加快推进绿色矿山建设。矿山地质环境持续得到改善，绿色矿业发展格局逐步形成。</w:t>
      </w:r>
    </w:p>
    <w:p>
      <w:pPr>
        <w:pStyle w:val="3"/>
        <w:widowControl w:val="0"/>
        <w:ind w:firstLine="602" w:firstLineChars="200"/>
        <w:rPr>
          <w:rFonts w:ascii="楷体" w:hAnsi="楷体" w:eastAsia="楷体" w:cs="楷体"/>
          <w:bCs w:val="0"/>
          <w:color w:val="auto"/>
          <w:kern w:val="2"/>
          <w:sz w:val="30"/>
          <w:szCs w:val="30"/>
        </w:rPr>
      </w:pPr>
      <w:bookmarkStart w:id="54" w:name="_Toc79415248"/>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四</w:t>
      </w:r>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2025年</w:t>
      </w:r>
      <w:r>
        <w:rPr>
          <w:rFonts w:ascii="楷体" w:hAnsi="楷体" w:eastAsia="楷体" w:cs="楷体"/>
          <w:bCs w:val="0"/>
          <w:color w:val="auto"/>
          <w:kern w:val="2"/>
          <w:sz w:val="30"/>
          <w:szCs w:val="30"/>
        </w:rPr>
        <w:t>规划目标</w:t>
      </w:r>
      <w:bookmarkEnd w:id="54"/>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见专栏五。</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w:t>
      </w:r>
      <w:r>
        <w:rPr>
          <w:rFonts w:eastAsia="仿宋_GB2312"/>
          <w:color w:val="auto"/>
          <w:kern w:val="2"/>
          <w:sz w:val="28"/>
          <w:szCs w:val="28"/>
        </w:rPr>
        <w:t>落实省市规划部署，</w:t>
      </w:r>
      <w:r>
        <w:rPr>
          <w:rFonts w:hint="eastAsia" w:eastAsia="仿宋_GB2312"/>
          <w:color w:val="auto"/>
          <w:kern w:val="2"/>
          <w:sz w:val="28"/>
          <w:szCs w:val="28"/>
        </w:rPr>
        <w:t>实施“基础性公益性地质调查工程”和“城市地质调查工程”。</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2.落实省市规划部署，继续实施找矿突破战略行动。开展深部热源聚集区地热资源调查，积极开展地热异常区域预可行性勘查工作，增强后备资源保障。</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3.实施地热矿产资源统一规划、科学配置。2025年，主要矿产年开采量地热控制在65万立方米，矿泉水9万立方米。</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4.统筹考虑自然保护地、自然保护地外红线区域和矿业权分布现状，合理评估资源环境承载能力，兼顾环境保护和矿业权实际，强化勘查开采准入条件，进一步调整优化四区矿产资源勘查、开采与保护格局。2025年，四区矿山总数控制在20个以内。</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5.</w:t>
      </w:r>
      <w:r>
        <w:rPr>
          <w:rFonts w:hint="eastAsia"/>
          <w:color w:val="auto"/>
        </w:rPr>
        <w:t xml:space="preserve"> </w:t>
      </w:r>
      <w:r>
        <w:rPr>
          <w:rFonts w:hint="eastAsia" w:eastAsia="仿宋_GB2312"/>
          <w:color w:val="auto"/>
          <w:kern w:val="2"/>
          <w:sz w:val="28"/>
          <w:szCs w:val="28"/>
        </w:rPr>
        <w:t>到2025年，新建矿山必须达标绿色矿山建设标准，生产矿山2025年大型矿山绿色矿山建成率90%、中型矿山绿色矿山建成率80%、小型矿山绿色矿山建成率70%。</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6.完成2013-2017 年关停露天开采矿山地质环境治理1处。</w:t>
      </w:r>
    </w:p>
    <w:tbl>
      <w:tblPr>
        <w:tblStyle w:val="25"/>
        <w:tblpPr w:leftFromText="180" w:rightFromText="180" w:vertAnchor="text" w:horzAnchor="margin" w:tblpXSpec="center" w:tblpY="334"/>
        <w:tblW w:w="8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3"/>
        <w:gridCol w:w="2840"/>
        <w:gridCol w:w="1418"/>
        <w:gridCol w:w="992"/>
        <w:gridCol w:w="1192"/>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exact"/>
        </w:trPr>
        <w:tc>
          <w:tcPr>
            <w:tcW w:w="8282" w:type="dxa"/>
            <w:gridSpan w:val="6"/>
            <w:vAlign w:val="center"/>
          </w:tcPr>
          <w:p>
            <w:pPr>
              <w:jc w:val="center"/>
              <w:rPr>
                <w:rFonts w:cs="宋体" w:asciiTheme="minorEastAsia" w:hAnsiTheme="minorEastAsia" w:eastAsiaTheme="minorEastAsia"/>
                <w:color w:val="auto"/>
                <w:sz w:val="21"/>
                <w:szCs w:val="21"/>
              </w:rPr>
            </w:pPr>
            <w:r>
              <w:rPr>
                <w:rFonts w:hint="eastAsia" w:cs="黑体" w:asciiTheme="minorEastAsia" w:hAnsiTheme="minorEastAsia" w:eastAsiaTheme="minorEastAsia"/>
                <w:b/>
                <w:color w:val="auto"/>
                <w:sz w:val="21"/>
                <w:szCs w:val="21"/>
              </w:rPr>
              <w:t>专栏五  矿产资源开发与绿色矿山建设主要规划指标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类别</w:t>
            </w: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指标名称</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指标单位</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指标值</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指标属性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restart"/>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矿产资源开发利用与保护</w:t>
            </w: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矿山数量</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个</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20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地热</w:t>
            </w:r>
          </w:p>
        </w:tc>
        <w:tc>
          <w:tcPr>
            <w:tcW w:w="1418" w:type="dxa"/>
            <w:vAlign w:val="center"/>
          </w:tcPr>
          <w:p>
            <w:pPr>
              <w:jc w:val="center"/>
              <w:rPr>
                <w:rFonts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万立方米</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65</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矿泉水</w:t>
            </w:r>
          </w:p>
        </w:tc>
        <w:tc>
          <w:tcPr>
            <w:tcW w:w="1418" w:type="dxa"/>
            <w:vAlign w:val="center"/>
          </w:tcPr>
          <w:p>
            <w:pPr>
              <w:jc w:val="center"/>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万立方米</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9</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restart"/>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绿色矿业发展</w:t>
            </w:r>
          </w:p>
        </w:tc>
        <w:tc>
          <w:tcPr>
            <w:tcW w:w="2840" w:type="dxa"/>
            <w:vAlign w:val="center"/>
          </w:tcPr>
          <w:p>
            <w:pPr>
              <w:jc w:val="center"/>
              <w:rPr>
                <w:rFonts w:asciiTheme="minorEastAsia" w:hAnsiTheme="minorEastAsia" w:eastAsiaTheme="minorEastAsia"/>
                <w:color w:val="auto"/>
                <w:spacing w:val="-26"/>
                <w:sz w:val="21"/>
                <w:szCs w:val="21"/>
              </w:rPr>
            </w:pPr>
            <w:r>
              <w:rPr>
                <w:rFonts w:hint="eastAsia" w:asciiTheme="minorEastAsia" w:hAnsiTheme="minorEastAsia" w:eastAsiaTheme="minorEastAsia"/>
                <w:color w:val="auto"/>
                <w:spacing w:val="-26"/>
                <w:sz w:val="21"/>
                <w:szCs w:val="21"/>
              </w:rPr>
              <w:t>大型矿山绿色矿山达标比例</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90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pacing w:val="-26"/>
                <w:sz w:val="21"/>
                <w:szCs w:val="21"/>
              </w:rPr>
              <w:t>中型矿山绿色矿山达标比例</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80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340" w:hRule="exact"/>
        </w:trPr>
        <w:tc>
          <w:tcPr>
            <w:tcW w:w="1833" w:type="dxa"/>
            <w:vMerge w:val="continue"/>
            <w:vAlign w:val="center"/>
          </w:tcPr>
          <w:p>
            <w:pPr>
              <w:jc w:val="center"/>
              <w:rPr>
                <w:rFonts w:asciiTheme="minorEastAsia" w:hAnsiTheme="minorEastAsia" w:eastAsiaTheme="minorEastAsia"/>
                <w:color w:val="auto"/>
                <w:sz w:val="21"/>
                <w:szCs w:val="21"/>
              </w:rPr>
            </w:pPr>
          </w:p>
        </w:tc>
        <w:tc>
          <w:tcPr>
            <w:tcW w:w="2840"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pacing w:val="-26"/>
                <w:sz w:val="21"/>
                <w:szCs w:val="21"/>
              </w:rPr>
              <w:t>小型矿山绿色矿山达标比例</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70</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685" w:hRule="exact"/>
        </w:trPr>
        <w:tc>
          <w:tcPr>
            <w:tcW w:w="1833"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历史遗留露天矿山地质环境治理</w:t>
            </w:r>
          </w:p>
        </w:tc>
        <w:tc>
          <w:tcPr>
            <w:tcW w:w="2840" w:type="dxa"/>
            <w:vAlign w:val="center"/>
          </w:tcPr>
          <w:p>
            <w:pPr>
              <w:jc w:val="center"/>
              <w:rPr>
                <w:rFonts w:asciiTheme="minorEastAsia" w:hAnsiTheme="minorEastAsia" w:eastAsiaTheme="minorEastAsia"/>
                <w:color w:val="auto"/>
                <w:spacing w:val="-26"/>
                <w:sz w:val="21"/>
                <w:szCs w:val="21"/>
              </w:rPr>
            </w:pPr>
            <w:r>
              <w:rPr>
                <w:rFonts w:hint="eastAsia" w:asciiTheme="minorEastAsia" w:hAnsiTheme="minorEastAsia" w:eastAsiaTheme="minorEastAsia"/>
                <w:color w:val="auto"/>
                <w:spacing w:val="-26"/>
                <w:sz w:val="21"/>
                <w:szCs w:val="21"/>
              </w:rPr>
              <w:t>2013-2017 年，关停露天开</w:t>
            </w:r>
          </w:p>
          <w:p>
            <w:pPr>
              <w:jc w:val="center"/>
              <w:rPr>
                <w:rFonts w:asciiTheme="minorEastAsia" w:hAnsiTheme="minorEastAsia" w:eastAsiaTheme="minorEastAsia"/>
                <w:color w:val="auto"/>
                <w:spacing w:val="-26"/>
                <w:sz w:val="21"/>
                <w:szCs w:val="21"/>
              </w:rPr>
            </w:pPr>
            <w:r>
              <w:rPr>
                <w:rFonts w:hint="eastAsia" w:asciiTheme="minorEastAsia" w:hAnsiTheme="minorEastAsia" w:eastAsiaTheme="minorEastAsia"/>
                <w:color w:val="auto"/>
                <w:spacing w:val="-26"/>
                <w:sz w:val="21"/>
                <w:szCs w:val="21"/>
              </w:rPr>
              <w:t>采矿山地质环境治理</w:t>
            </w:r>
          </w:p>
        </w:tc>
        <w:tc>
          <w:tcPr>
            <w:tcW w:w="1418"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处</w:t>
            </w:r>
          </w:p>
        </w:tc>
        <w:tc>
          <w:tcPr>
            <w:tcW w:w="9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1</w:t>
            </w:r>
          </w:p>
        </w:tc>
        <w:tc>
          <w:tcPr>
            <w:tcW w:w="1192" w:type="dxa"/>
            <w:vAlign w:val="center"/>
          </w:tcPr>
          <w:p>
            <w:pPr>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预期性</w:t>
            </w:r>
          </w:p>
        </w:tc>
      </w:tr>
    </w:tbl>
    <w:p>
      <w:pPr>
        <w:pStyle w:val="3"/>
        <w:widowControl w:val="0"/>
        <w:ind w:firstLine="602" w:firstLineChars="200"/>
        <w:rPr>
          <w:rFonts w:ascii="楷体" w:hAnsi="楷体" w:eastAsia="楷体" w:cs="楷体"/>
          <w:bCs w:val="0"/>
          <w:color w:val="auto"/>
          <w:kern w:val="2"/>
          <w:sz w:val="30"/>
          <w:szCs w:val="30"/>
        </w:rPr>
      </w:pPr>
      <w:bookmarkStart w:id="55" w:name="_Toc79415249"/>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五</w:t>
      </w:r>
      <w:r>
        <w:rPr>
          <w:rFonts w:ascii="楷体" w:hAnsi="楷体" w:eastAsia="楷体" w:cs="楷体"/>
          <w:bCs w:val="0"/>
          <w:color w:val="auto"/>
          <w:kern w:val="2"/>
          <w:sz w:val="30"/>
          <w:szCs w:val="30"/>
        </w:rPr>
        <w:t>）</w:t>
      </w:r>
      <w:r>
        <w:rPr>
          <w:rFonts w:hint="eastAsia" w:ascii="楷体" w:hAnsi="楷体" w:eastAsia="楷体" w:cs="楷体"/>
          <w:bCs w:val="0"/>
          <w:color w:val="auto"/>
          <w:kern w:val="2"/>
          <w:sz w:val="30"/>
          <w:szCs w:val="30"/>
        </w:rPr>
        <w:t>矿产资源勘查开发与保护</w:t>
      </w:r>
      <w:bookmarkEnd w:id="55"/>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1.矿产资源勘查开采调控方向</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结合四区实际，重点勘查开采矿种：地热、矿泉水。落实市规划管控要求。</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2.矿产资源产业重点发展区域</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对位置优越、勘查程度较高、开发利用程度较高的宝泉汤、温泉汤、洪水岚汤地热田的承载能力做出科学评估，核定允许开采量，合理适量开采，实现永续利用；积极开展四区地热异常区域预可行性勘查工作，扩大资源储备。</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3.勘查开采规划区块</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（1）勘查规划区块</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无。</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（2）开采规划区块</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落实市级发证矿种开采规划区块9个，面积</w:t>
      </w:r>
      <w:r>
        <w:rPr>
          <w:rFonts w:hint="eastAsia" w:eastAsia="仿宋_GB2312"/>
          <w:color w:val="auto"/>
          <w:kern w:val="2"/>
          <w:sz w:val="28"/>
          <w:szCs w:val="28"/>
        </w:rPr>
        <w:t>0.051</w:t>
      </w:r>
      <w:r>
        <w:rPr>
          <w:rFonts w:hint="eastAsia" w:eastAsia="仿宋_GB2312"/>
          <w:color w:val="auto"/>
          <w:kern w:val="2"/>
          <w:sz w:val="28"/>
          <w:szCs w:val="28"/>
        </w:rPr>
        <w:t>平方千米，其中地热8个、矿泉水1个。</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4.管理措施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环翠四区属威海市中心城区，除地热、矿泉水外，十四五期间不计划开采山石矿产资源，要加强山体保护和治理。</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根据矿泉水勘查情况，取得勘查成果后，依法办理探矿权转采矿权。做好地热、矿泉水资源的开发利用与保护，加强地热、矿泉水资源开发利用的日常监督管理及保护工作。日常监督管理中，地热、矿泉水开采企业必须同时持有取水许可证和采矿许可证，而且取水规模严格一致。</w:t>
      </w:r>
    </w:p>
    <w:p>
      <w:pPr>
        <w:widowControl w:val="0"/>
        <w:spacing w:line="540" w:lineRule="exact"/>
        <w:ind w:firstLine="560" w:firstLineChars="200"/>
        <w:jc w:val="both"/>
        <w:rPr>
          <w:rFonts w:eastAsia="仿宋_GB2312"/>
          <w:color w:val="auto"/>
          <w:kern w:val="2"/>
          <w:sz w:val="28"/>
          <w:szCs w:val="28"/>
        </w:rPr>
      </w:pPr>
    </w:p>
    <w:p>
      <w:pPr>
        <w:pStyle w:val="2"/>
        <w:widowControl w:val="0"/>
        <w:spacing w:before="360" w:after="360" w:line="360" w:lineRule="auto"/>
        <w:ind w:firstLine="640" w:firstLineChars="200"/>
        <w:jc w:val="both"/>
        <w:rPr>
          <w:rFonts w:ascii="黑体" w:hAnsi="黑体" w:eastAsia="黑体" w:cs="黑体"/>
          <w:b w:val="0"/>
          <w:bCs w:val="0"/>
          <w:color w:val="auto"/>
          <w:kern w:val="2"/>
          <w:sz w:val="32"/>
          <w:szCs w:val="32"/>
        </w:rPr>
      </w:pPr>
      <w:bookmarkStart w:id="56" w:name="_Toc79415250"/>
      <w:r>
        <w:rPr>
          <w:rFonts w:hint="eastAsia" w:ascii="黑体" w:hAnsi="黑体" w:eastAsia="黑体" w:cs="黑体"/>
          <w:b w:val="0"/>
          <w:bCs w:val="0"/>
          <w:color w:val="auto"/>
          <w:kern w:val="2"/>
          <w:sz w:val="32"/>
          <w:szCs w:val="32"/>
        </w:rPr>
        <w:t>九、规划保障措施</w:t>
      </w:r>
      <w:bookmarkEnd w:id="56"/>
    </w:p>
    <w:p>
      <w:pPr>
        <w:pStyle w:val="3"/>
        <w:widowControl w:val="0"/>
        <w:ind w:firstLine="602" w:firstLineChars="200"/>
        <w:rPr>
          <w:rFonts w:ascii="楷体" w:hAnsi="楷体" w:eastAsia="楷体" w:cs="楷体"/>
          <w:bCs w:val="0"/>
          <w:color w:val="auto"/>
          <w:kern w:val="2"/>
          <w:sz w:val="30"/>
          <w:szCs w:val="30"/>
        </w:rPr>
      </w:pPr>
      <w:bookmarkStart w:id="57" w:name="_Toc79415251"/>
      <w:r>
        <w:rPr>
          <w:rFonts w:hint="eastAsia" w:ascii="楷体" w:hAnsi="楷体" w:eastAsia="楷体" w:cs="楷体"/>
          <w:bCs w:val="0"/>
          <w:color w:val="auto"/>
          <w:kern w:val="2"/>
          <w:sz w:val="30"/>
          <w:szCs w:val="30"/>
        </w:rPr>
        <w:t>（一）健全规划实施目标责任制</w:t>
      </w:r>
      <w:bookmarkEnd w:id="57"/>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威海市矿产资源规划由省自然资源厅审批，威海市政府发布实施。市政府有关部门和各区（市）政府要加强组织领导，明确职责分工，认真履行职责，加强协调配合，做好政策衔接，各级自然资源主管部门是矿产资源规划实施的主责部门，主要负责同志是第一责任人，及时组织研究解决规划实施过程中的重大问题，共同推进规划的实施。</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矿产资源规划一经批准，须严格执行。市、县自然资源主管部门要建立规划实施目标责任制，按照管理职责将规划目标任务进行分解落实，明确责任分工和考核指标，并纳入年度目标管理体系，统一考核。</w:t>
      </w:r>
    </w:p>
    <w:p>
      <w:pPr>
        <w:pStyle w:val="3"/>
        <w:widowControl w:val="0"/>
        <w:ind w:firstLine="602" w:firstLineChars="200"/>
        <w:rPr>
          <w:rFonts w:ascii="楷体" w:hAnsi="楷体" w:eastAsia="楷体" w:cs="楷体"/>
          <w:bCs w:val="0"/>
          <w:color w:val="auto"/>
          <w:kern w:val="2"/>
          <w:sz w:val="30"/>
          <w:szCs w:val="30"/>
        </w:rPr>
      </w:pPr>
      <w:bookmarkStart w:id="58" w:name="_Toc79415252"/>
      <w:r>
        <w:rPr>
          <w:rFonts w:hint="eastAsia" w:ascii="楷体" w:hAnsi="楷体" w:eastAsia="楷体" w:cs="楷体"/>
          <w:bCs w:val="0"/>
          <w:color w:val="auto"/>
          <w:kern w:val="2"/>
          <w:sz w:val="30"/>
          <w:szCs w:val="30"/>
        </w:rPr>
        <w:t>（二）健全完善规划实施评估调整机制</w:t>
      </w:r>
      <w:bookmarkEnd w:id="58"/>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建立规划动态管理和实施评估机制，完善《规划》实施情况的监督检查；加强对矿产资源动态监测规划执行情况的统计和分析，总结《规划》实施的经验与不足，分析《规划》实施存在的问题；定期开展《规划》实施情况的年度和中期评估，推进规划动态调整，为规划管理决策和规划调整与修订提供基础信息和依据，不断增强《规划》的操作性、针对性。《规划》的调整，应当由原编制单位向批准机关提出调整申请，经批准机关同意后生效。</w:t>
      </w:r>
    </w:p>
    <w:p>
      <w:pPr>
        <w:pStyle w:val="3"/>
        <w:widowControl w:val="0"/>
        <w:ind w:firstLine="602" w:firstLineChars="200"/>
        <w:rPr>
          <w:rFonts w:ascii="楷体" w:hAnsi="楷体" w:eastAsia="楷体" w:cs="楷体"/>
          <w:bCs w:val="0"/>
          <w:color w:val="auto"/>
          <w:kern w:val="2"/>
          <w:sz w:val="30"/>
          <w:szCs w:val="30"/>
        </w:rPr>
      </w:pPr>
      <w:bookmarkStart w:id="59" w:name="_Toc79415253"/>
      <w:r>
        <w:rPr>
          <w:rFonts w:hint="eastAsia" w:ascii="楷体" w:hAnsi="楷体" w:eastAsia="楷体" w:cs="楷体"/>
          <w:bCs w:val="0"/>
          <w:color w:val="auto"/>
          <w:kern w:val="2"/>
          <w:sz w:val="30"/>
          <w:szCs w:val="30"/>
        </w:rPr>
        <w:t>（三）加强规划实施情况监督检查</w:t>
      </w:r>
      <w:bookmarkEnd w:id="59"/>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加强威海市矿产资源规划实施的组织领导和机构建设，实行矿产资源规划归口管理，明确职责；把规划作为矿政管理的重要依据，充分发挥规划对威海市矿产资源配置的统筹和调控作用；构建规划实施监督体系，切实加强对矿产资源规划执行情况的监督检查，并将其列为自然资源执法监察的重要内容。</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全面推进社会公众参与，逐步建立规划公众参与制度、规划公示制度、规划管理公开制度和社会公众监督制度。强化重点区域和重点领域的规划实施监督管理，接受社会公众监督，强化检查措施，发现不符合规划的，及时予以纠正，确保《规划》全面落实。</w:t>
      </w:r>
    </w:p>
    <w:p>
      <w:pPr>
        <w:pStyle w:val="3"/>
        <w:widowControl w:val="0"/>
        <w:ind w:firstLine="602" w:firstLineChars="200"/>
        <w:rPr>
          <w:rFonts w:ascii="楷体" w:hAnsi="楷体" w:eastAsia="楷体" w:cs="楷体"/>
          <w:bCs w:val="0"/>
          <w:color w:val="auto"/>
          <w:kern w:val="2"/>
          <w:sz w:val="30"/>
          <w:szCs w:val="30"/>
        </w:rPr>
      </w:pPr>
      <w:bookmarkStart w:id="60" w:name="_Toc79415254"/>
      <w:r>
        <w:rPr>
          <w:rFonts w:hint="eastAsia" w:ascii="楷体" w:hAnsi="楷体" w:eastAsia="楷体" w:cs="楷体"/>
          <w:bCs w:val="0"/>
          <w:color w:val="auto"/>
          <w:kern w:val="2"/>
          <w:sz w:val="30"/>
          <w:szCs w:val="30"/>
        </w:rPr>
        <w:t>（四）提高规划管理信息化水平</w:t>
      </w:r>
      <w:bookmarkEnd w:id="60"/>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进一步完善矿产资源规划数据库，实现与矿产资源勘查、开发利用、储量、矿业权等基础数据库的衔接与共享；建成覆盖全市域的具有信息管理、分析查询、监测评价和辅助决策功能的规划管理信息系统，提高规划管理效率和社会化信息服务水平。</w:t>
      </w:r>
    </w:p>
    <w:p>
      <w:pPr>
        <w:widowControl w:val="0"/>
        <w:spacing w:line="540" w:lineRule="exact"/>
        <w:ind w:firstLine="560" w:firstLineChars="200"/>
        <w:jc w:val="both"/>
        <w:rPr>
          <w:rFonts w:eastAsia="仿宋_GB2312"/>
          <w:color w:val="auto"/>
          <w:kern w:val="2"/>
          <w:sz w:val="28"/>
          <w:szCs w:val="28"/>
        </w:rPr>
      </w:pPr>
      <w:r>
        <w:rPr>
          <w:rFonts w:hint="eastAsia" w:eastAsia="仿宋_GB2312"/>
          <w:color w:val="auto"/>
          <w:kern w:val="2"/>
          <w:sz w:val="28"/>
          <w:szCs w:val="28"/>
        </w:rPr>
        <w:t>完善规划实施管理信息系统建设，做好规划实施管理的动态监测、评价、预警技术，充分利用监测系统提供的监测数据，对规划实施效果进行评价并作出判断，确保规划的实施和处理决策。</w:t>
      </w:r>
    </w:p>
    <w:p>
      <w:pPr>
        <w:widowControl w:val="0"/>
        <w:spacing w:line="540" w:lineRule="exact"/>
        <w:ind w:firstLine="560" w:firstLineChars="200"/>
        <w:jc w:val="both"/>
        <w:rPr>
          <w:color w:val="auto"/>
          <w:sz w:val="28"/>
          <w:szCs w:val="28"/>
        </w:rPr>
      </w:pPr>
      <w:r>
        <w:rPr>
          <w:rFonts w:hint="eastAsia" w:eastAsia="仿宋_GB2312"/>
          <w:color w:val="auto"/>
          <w:kern w:val="2"/>
          <w:sz w:val="28"/>
          <w:szCs w:val="28"/>
        </w:rPr>
        <w:t>按照《地质资料管理条例》及《地质资料管理条例实施办法》要求，及时汇交矿产资源总体规划资料，保障地质资料得到充分利用。</w:t>
      </w:r>
    </w:p>
    <w:sectPr>
      <w:pgSz w:w="11906" w:h="16838"/>
      <w:pgMar w:top="1440" w:right="1797" w:bottom="1440" w:left="1797"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2</w:t>
    </w:r>
    <w:r>
      <w:rPr>
        <w:rStyle w:val="22"/>
      </w:rPr>
      <w:fldChar w:fldCharType="end"/>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 PAGE   \* MERGEFORMAT </w:instrText>
    </w:r>
    <w:r>
      <w:fldChar w:fldCharType="separate"/>
    </w:r>
    <w:r>
      <w:rPr>
        <w:lang w:val="zh-CN"/>
      </w:rPr>
      <w:t>45</w:t>
    </w:r>
    <w:r>
      <w:rPr>
        <w:lang w:val="zh-CN"/>
      </w:rPr>
      <w:fldChar w:fldCharType="end"/>
    </w:r>
  </w:p>
  <w:p>
    <w:pPr>
      <w:pStyle w:val="1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hideSpellingErrors/>
  <w:documentProtection w:enforcement="0"/>
  <w:defaultTabStop w:val="720"/>
  <w:noPunctuationKerning w:val="1"/>
  <w:characterSpacingControl w:val="doNotCompress"/>
  <w:compat>
    <w:useFELayout/>
    <w:compatSetting w:name="compatibilityMode" w:uri="http://schemas.microsoft.com/office/word" w:val="12"/>
  </w:compat>
  <w:rsids>
    <w:rsidRoot w:val="00A71B8F"/>
    <w:rsid w:val="00000AA7"/>
    <w:rsid w:val="00001324"/>
    <w:rsid w:val="00002828"/>
    <w:rsid w:val="00002F78"/>
    <w:rsid w:val="00004AC6"/>
    <w:rsid w:val="000058E1"/>
    <w:rsid w:val="00005A58"/>
    <w:rsid w:val="00012730"/>
    <w:rsid w:val="0001279A"/>
    <w:rsid w:val="000136D3"/>
    <w:rsid w:val="00013CBC"/>
    <w:rsid w:val="0001402C"/>
    <w:rsid w:val="00014254"/>
    <w:rsid w:val="000144CA"/>
    <w:rsid w:val="00015454"/>
    <w:rsid w:val="00015A11"/>
    <w:rsid w:val="00016017"/>
    <w:rsid w:val="000167B2"/>
    <w:rsid w:val="0002045F"/>
    <w:rsid w:val="00020793"/>
    <w:rsid w:val="000208BA"/>
    <w:rsid w:val="00021396"/>
    <w:rsid w:val="000215F7"/>
    <w:rsid w:val="00021D20"/>
    <w:rsid w:val="00022700"/>
    <w:rsid w:val="00022711"/>
    <w:rsid w:val="000229BF"/>
    <w:rsid w:val="000229C7"/>
    <w:rsid w:val="00022CD8"/>
    <w:rsid w:val="00024084"/>
    <w:rsid w:val="00024976"/>
    <w:rsid w:val="00024D89"/>
    <w:rsid w:val="000252CA"/>
    <w:rsid w:val="00025D56"/>
    <w:rsid w:val="00026B72"/>
    <w:rsid w:val="00027349"/>
    <w:rsid w:val="00027459"/>
    <w:rsid w:val="00027A69"/>
    <w:rsid w:val="00030089"/>
    <w:rsid w:val="00030722"/>
    <w:rsid w:val="000307BA"/>
    <w:rsid w:val="00030E60"/>
    <w:rsid w:val="00030F37"/>
    <w:rsid w:val="00031602"/>
    <w:rsid w:val="0003324A"/>
    <w:rsid w:val="000338BA"/>
    <w:rsid w:val="0003471D"/>
    <w:rsid w:val="0003671B"/>
    <w:rsid w:val="000367A9"/>
    <w:rsid w:val="000376E8"/>
    <w:rsid w:val="000377DB"/>
    <w:rsid w:val="000408B5"/>
    <w:rsid w:val="00040BE1"/>
    <w:rsid w:val="00040D47"/>
    <w:rsid w:val="000410E7"/>
    <w:rsid w:val="00041327"/>
    <w:rsid w:val="00041D52"/>
    <w:rsid w:val="0004314B"/>
    <w:rsid w:val="00043CF7"/>
    <w:rsid w:val="000447C2"/>
    <w:rsid w:val="000457F8"/>
    <w:rsid w:val="00045994"/>
    <w:rsid w:val="000459BF"/>
    <w:rsid w:val="00045BDB"/>
    <w:rsid w:val="00045CD7"/>
    <w:rsid w:val="000461A7"/>
    <w:rsid w:val="00046D1D"/>
    <w:rsid w:val="000473FE"/>
    <w:rsid w:val="00047D2F"/>
    <w:rsid w:val="00047DF1"/>
    <w:rsid w:val="000509A4"/>
    <w:rsid w:val="00050CC7"/>
    <w:rsid w:val="00051205"/>
    <w:rsid w:val="00051EF3"/>
    <w:rsid w:val="000521D7"/>
    <w:rsid w:val="00052B58"/>
    <w:rsid w:val="00052EFE"/>
    <w:rsid w:val="00056217"/>
    <w:rsid w:val="00056645"/>
    <w:rsid w:val="00056650"/>
    <w:rsid w:val="00056D4D"/>
    <w:rsid w:val="00056F2D"/>
    <w:rsid w:val="00057373"/>
    <w:rsid w:val="0006030D"/>
    <w:rsid w:val="000607F6"/>
    <w:rsid w:val="000612E2"/>
    <w:rsid w:val="0006195D"/>
    <w:rsid w:val="00061E1E"/>
    <w:rsid w:val="000632E0"/>
    <w:rsid w:val="00063B36"/>
    <w:rsid w:val="00063CCB"/>
    <w:rsid w:val="000652F9"/>
    <w:rsid w:val="00066CCA"/>
    <w:rsid w:val="00067003"/>
    <w:rsid w:val="000675D2"/>
    <w:rsid w:val="00067E02"/>
    <w:rsid w:val="00070102"/>
    <w:rsid w:val="00070437"/>
    <w:rsid w:val="0007077B"/>
    <w:rsid w:val="00071647"/>
    <w:rsid w:val="00071779"/>
    <w:rsid w:val="00072F21"/>
    <w:rsid w:val="000734E3"/>
    <w:rsid w:val="000748BA"/>
    <w:rsid w:val="00074A65"/>
    <w:rsid w:val="00074AD8"/>
    <w:rsid w:val="00075369"/>
    <w:rsid w:val="000759D3"/>
    <w:rsid w:val="00076671"/>
    <w:rsid w:val="00076CD9"/>
    <w:rsid w:val="00076EE8"/>
    <w:rsid w:val="00076FB9"/>
    <w:rsid w:val="00077145"/>
    <w:rsid w:val="000774EB"/>
    <w:rsid w:val="000774EE"/>
    <w:rsid w:val="0008016A"/>
    <w:rsid w:val="00080396"/>
    <w:rsid w:val="00080979"/>
    <w:rsid w:val="000810BD"/>
    <w:rsid w:val="00081A55"/>
    <w:rsid w:val="0008245C"/>
    <w:rsid w:val="000824DC"/>
    <w:rsid w:val="00082722"/>
    <w:rsid w:val="00082C17"/>
    <w:rsid w:val="00082D18"/>
    <w:rsid w:val="00083263"/>
    <w:rsid w:val="000838C9"/>
    <w:rsid w:val="0008424D"/>
    <w:rsid w:val="0008459E"/>
    <w:rsid w:val="00084B92"/>
    <w:rsid w:val="00084E49"/>
    <w:rsid w:val="00084F6B"/>
    <w:rsid w:val="00085A65"/>
    <w:rsid w:val="00086A19"/>
    <w:rsid w:val="00087965"/>
    <w:rsid w:val="00087DFE"/>
    <w:rsid w:val="0009025C"/>
    <w:rsid w:val="00091E84"/>
    <w:rsid w:val="00092939"/>
    <w:rsid w:val="00092FB6"/>
    <w:rsid w:val="00094845"/>
    <w:rsid w:val="00094E8F"/>
    <w:rsid w:val="000960CB"/>
    <w:rsid w:val="000A0424"/>
    <w:rsid w:val="000A1749"/>
    <w:rsid w:val="000A19A1"/>
    <w:rsid w:val="000A20ED"/>
    <w:rsid w:val="000A2F02"/>
    <w:rsid w:val="000A3096"/>
    <w:rsid w:val="000A3A48"/>
    <w:rsid w:val="000A42A0"/>
    <w:rsid w:val="000A4C12"/>
    <w:rsid w:val="000A6732"/>
    <w:rsid w:val="000A7EFA"/>
    <w:rsid w:val="000B0162"/>
    <w:rsid w:val="000B03AD"/>
    <w:rsid w:val="000B0B26"/>
    <w:rsid w:val="000B0DF3"/>
    <w:rsid w:val="000B1A23"/>
    <w:rsid w:val="000B266E"/>
    <w:rsid w:val="000B2E41"/>
    <w:rsid w:val="000B3052"/>
    <w:rsid w:val="000B31E1"/>
    <w:rsid w:val="000B371B"/>
    <w:rsid w:val="000B4AB9"/>
    <w:rsid w:val="000B4E7A"/>
    <w:rsid w:val="000B4F57"/>
    <w:rsid w:val="000B56BE"/>
    <w:rsid w:val="000B58BD"/>
    <w:rsid w:val="000B74B0"/>
    <w:rsid w:val="000B77BB"/>
    <w:rsid w:val="000B79D7"/>
    <w:rsid w:val="000C04C5"/>
    <w:rsid w:val="000C0AA2"/>
    <w:rsid w:val="000C1880"/>
    <w:rsid w:val="000C30C3"/>
    <w:rsid w:val="000C30DC"/>
    <w:rsid w:val="000C312A"/>
    <w:rsid w:val="000C3A75"/>
    <w:rsid w:val="000C4BA4"/>
    <w:rsid w:val="000C5760"/>
    <w:rsid w:val="000C6195"/>
    <w:rsid w:val="000C6BD3"/>
    <w:rsid w:val="000C7901"/>
    <w:rsid w:val="000C797C"/>
    <w:rsid w:val="000D0131"/>
    <w:rsid w:val="000D025C"/>
    <w:rsid w:val="000D0461"/>
    <w:rsid w:val="000D0FAC"/>
    <w:rsid w:val="000D2305"/>
    <w:rsid w:val="000D2539"/>
    <w:rsid w:val="000D2FD3"/>
    <w:rsid w:val="000D374D"/>
    <w:rsid w:val="000D3D73"/>
    <w:rsid w:val="000D5273"/>
    <w:rsid w:val="000D6532"/>
    <w:rsid w:val="000D675A"/>
    <w:rsid w:val="000D6BF7"/>
    <w:rsid w:val="000D6E5E"/>
    <w:rsid w:val="000D77CF"/>
    <w:rsid w:val="000E2512"/>
    <w:rsid w:val="000E2798"/>
    <w:rsid w:val="000E3E38"/>
    <w:rsid w:val="000E44E9"/>
    <w:rsid w:val="000E579A"/>
    <w:rsid w:val="000E64A4"/>
    <w:rsid w:val="000E699A"/>
    <w:rsid w:val="000E6EE1"/>
    <w:rsid w:val="000E74E8"/>
    <w:rsid w:val="000E7A30"/>
    <w:rsid w:val="000F0002"/>
    <w:rsid w:val="000F0F3B"/>
    <w:rsid w:val="000F2FD8"/>
    <w:rsid w:val="000F352C"/>
    <w:rsid w:val="000F3785"/>
    <w:rsid w:val="000F381B"/>
    <w:rsid w:val="000F45CB"/>
    <w:rsid w:val="000F47FF"/>
    <w:rsid w:val="000F487C"/>
    <w:rsid w:val="000F5FE9"/>
    <w:rsid w:val="000F6ACE"/>
    <w:rsid w:val="000F6F21"/>
    <w:rsid w:val="000F6F4F"/>
    <w:rsid w:val="000F708C"/>
    <w:rsid w:val="000F73B2"/>
    <w:rsid w:val="000F7D0F"/>
    <w:rsid w:val="001004E7"/>
    <w:rsid w:val="00100988"/>
    <w:rsid w:val="00102023"/>
    <w:rsid w:val="0010206C"/>
    <w:rsid w:val="001027BE"/>
    <w:rsid w:val="0010315E"/>
    <w:rsid w:val="00103DD3"/>
    <w:rsid w:val="00104BCA"/>
    <w:rsid w:val="00105AF5"/>
    <w:rsid w:val="001076C7"/>
    <w:rsid w:val="00107846"/>
    <w:rsid w:val="00107955"/>
    <w:rsid w:val="001107C9"/>
    <w:rsid w:val="001108F4"/>
    <w:rsid w:val="0011095B"/>
    <w:rsid w:val="00110F0A"/>
    <w:rsid w:val="00110FD5"/>
    <w:rsid w:val="00110FD9"/>
    <w:rsid w:val="00111AAD"/>
    <w:rsid w:val="00111DFB"/>
    <w:rsid w:val="00112258"/>
    <w:rsid w:val="00112661"/>
    <w:rsid w:val="00113EA3"/>
    <w:rsid w:val="0011551D"/>
    <w:rsid w:val="001156D4"/>
    <w:rsid w:val="001158BE"/>
    <w:rsid w:val="00115B3A"/>
    <w:rsid w:val="00115CD0"/>
    <w:rsid w:val="00116835"/>
    <w:rsid w:val="001169CF"/>
    <w:rsid w:val="001169F9"/>
    <w:rsid w:val="0011744B"/>
    <w:rsid w:val="00120B21"/>
    <w:rsid w:val="00120C90"/>
    <w:rsid w:val="001210DA"/>
    <w:rsid w:val="001218E3"/>
    <w:rsid w:val="00122324"/>
    <w:rsid w:val="0012237F"/>
    <w:rsid w:val="0012273F"/>
    <w:rsid w:val="00122C1F"/>
    <w:rsid w:val="001251DB"/>
    <w:rsid w:val="0012634C"/>
    <w:rsid w:val="001274CE"/>
    <w:rsid w:val="00132592"/>
    <w:rsid w:val="00132CEB"/>
    <w:rsid w:val="0013311F"/>
    <w:rsid w:val="001337F5"/>
    <w:rsid w:val="00135565"/>
    <w:rsid w:val="001356A4"/>
    <w:rsid w:val="00135CD6"/>
    <w:rsid w:val="001360DE"/>
    <w:rsid w:val="001377ED"/>
    <w:rsid w:val="001379DC"/>
    <w:rsid w:val="00140015"/>
    <w:rsid w:val="001403B2"/>
    <w:rsid w:val="001405D2"/>
    <w:rsid w:val="00140728"/>
    <w:rsid w:val="0014119A"/>
    <w:rsid w:val="00142624"/>
    <w:rsid w:val="0014292F"/>
    <w:rsid w:val="00142B98"/>
    <w:rsid w:val="00143154"/>
    <w:rsid w:val="0014416E"/>
    <w:rsid w:val="0014461F"/>
    <w:rsid w:val="00145045"/>
    <w:rsid w:val="00145E84"/>
    <w:rsid w:val="001461B7"/>
    <w:rsid w:val="001461D1"/>
    <w:rsid w:val="00146BA9"/>
    <w:rsid w:val="00146D9F"/>
    <w:rsid w:val="00147324"/>
    <w:rsid w:val="001477E1"/>
    <w:rsid w:val="00147AB7"/>
    <w:rsid w:val="00147BD3"/>
    <w:rsid w:val="00147C26"/>
    <w:rsid w:val="00150BCF"/>
    <w:rsid w:val="00150CA5"/>
    <w:rsid w:val="00150EEA"/>
    <w:rsid w:val="001516FA"/>
    <w:rsid w:val="00151D7F"/>
    <w:rsid w:val="00152A65"/>
    <w:rsid w:val="00152F23"/>
    <w:rsid w:val="00152F85"/>
    <w:rsid w:val="00152FB5"/>
    <w:rsid w:val="001534DB"/>
    <w:rsid w:val="00153C23"/>
    <w:rsid w:val="001540E4"/>
    <w:rsid w:val="00154529"/>
    <w:rsid w:val="00154725"/>
    <w:rsid w:val="00154A77"/>
    <w:rsid w:val="0015508F"/>
    <w:rsid w:val="0015540D"/>
    <w:rsid w:val="00156CF5"/>
    <w:rsid w:val="0015731E"/>
    <w:rsid w:val="0015783D"/>
    <w:rsid w:val="00157929"/>
    <w:rsid w:val="00160430"/>
    <w:rsid w:val="001615DB"/>
    <w:rsid w:val="00162E20"/>
    <w:rsid w:val="001638B6"/>
    <w:rsid w:val="00163CE2"/>
    <w:rsid w:val="0016450E"/>
    <w:rsid w:val="00165162"/>
    <w:rsid w:val="00165356"/>
    <w:rsid w:val="001660A7"/>
    <w:rsid w:val="0016678A"/>
    <w:rsid w:val="00166E0E"/>
    <w:rsid w:val="00166F55"/>
    <w:rsid w:val="001670AD"/>
    <w:rsid w:val="0016788E"/>
    <w:rsid w:val="001701EA"/>
    <w:rsid w:val="001704B6"/>
    <w:rsid w:val="00170C6D"/>
    <w:rsid w:val="00171B12"/>
    <w:rsid w:val="0017224A"/>
    <w:rsid w:val="001725AC"/>
    <w:rsid w:val="00172749"/>
    <w:rsid w:val="0017312E"/>
    <w:rsid w:val="00173512"/>
    <w:rsid w:val="00174F8D"/>
    <w:rsid w:val="0017502D"/>
    <w:rsid w:val="001767D1"/>
    <w:rsid w:val="00176E80"/>
    <w:rsid w:val="00177030"/>
    <w:rsid w:val="001772BD"/>
    <w:rsid w:val="001777C5"/>
    <w:rsid w:val="0018079B"/>
    <w:rsid w:val="001807C1"/>
    <w:rsid w:val="00180B97"/>
    <w:rsid w:val="00180FDC"/>
    <w:rsid w:val="0018135E"/>
    <w:rsid w:val="001815EE"/>
    <w:rsid w:val="0018180D"/>
    <w:rsid w:val="00181F4F"/>
    <w:rsid w:val="00181FD1"/>
    <w:rsid w:val="001825A0"/>
    <w:rsid w:val="0018260E"/>
    <w:rsid w:val="001837DA"/>
    <w:rsid w:val="0018443F"/>
    <w:rsid w:val="00184F61"/>
    <w:rsid w:val="00185760"/>
    <w:rsid w:val="00185913"/>
    <w:rsid w:val="00185FF1"/>
    <w:rsid w:val="0018615E"/>
    <w:rsid w:val="00186D2A"/>
    <w:rsid w:val="00187242"/>
    <w:rsid w:val="00190B55"/>
    <w:rsid w:val="00190CE2"/>
    <w:rsid w:val="00191A0D"/>
    <w:rsid w:val="00191FDD"/>
    <w:rsid w:val="0019203B"/>
    <w:rsid w:val="0019217C"/>
    <w:rsid w:val="00193A98"/>
    <w:rsid w:val="00194688"/>
    <w:rsid w:val="00195447"/>
    <w:rsid w:val="00195730"/>
    <w:rsid w:val="001958FD"/>
    <w:rsid w:val="00195F62"/>
    <w:rsid w:val="00196600"/>
    <w:rsid w:val="00196D38"/>
    <w:rsid w:val="00197222"/>
    <w:rsid w:val="0019748B"/>
    <w:rsid w:val="00197A62"/>
    <w:rsid w:val="001A06C3"/>
    <w:rsid w:val="001A0ADF"/>
    <w:rsid w:val="001A0D65"/>
    <w:rsid w:val="001A1548"/>
    <w:rsid w:val="001A16E6"/>
    <w:rsid w:val="001A2592"/>
    <w:rsid w:val="001A2998"/>
    <w:rsid w:val="001A412E"/>
    <w:rsid w:val="001A4702"/>
    <w:rsid w:val="001A4D65"/>
    <w:rsid w:val="001A5741"/>
    <w:rsid w:val="001A6CB6"/>
    <w:rsid w:val="001A7118"/>
    <w:rsid w:val="001B1697"/>
    <w:rsid w:val="001B306C"/>
    <w:rsid w:val="001B35AF"/>
    <w:rsid w:val="001B37FD"/>
    <w:rsid w:val="001B4E5B"/>
    <w:rsid w:val="001B60C2"/>
    <w:rsid w:val="001B6313"/>
    <w:rsid w:val="001B6C32"/>
    <w:rsid w:val="001B7520"/>
    <w:rsid w:val="001C01E6"/>
    <w:rsid w:val="001C1379"/>
    <w:rsid w:val="001C1852"/>
    <w:rsid w:val="001C1BC9"/>
    <w:rsid w:val="001C22ED"/>
    <w:rsid w:val="001C2743"/>
    <w:rsid w:val="001C3597"/>
    <w:rsid w:val="001C36CB"/>
    <w:rsid w:val="001C4940"/>
    <w:rsid w:val="001C5440"/>
    <w:rsid w:val="001C5975"/>
    <w:rsid w:val="001C5C84"/>
    <w:rsid w:val="001C5E8B"/>
    <w:rsid w:val="001C629A"/>
    <w:rsid w:val="001C74A3"/>
    <w:rsid w:val="001C7A07"/>
    <w:rsid w:val="001D0006"/>
    <w:rsid w:val="001D014D"/>
    <w:rsid w:val="001D0B91"/>
    <w:rsid w:val="001D0BA1"/>
    <w:rsid w:val="001D295F"/>
    <w:rsid w:val="001D2AEE"/>
    <w:rsid w:val="001D3036"/>
    <w:rsid w:val="001D3955"/>
    <w:rsid w:val="001D3F1C"/>
    <w:rsid w:val="001D4AA1"/>
    <w:rsid w:val="001D6038"/>
    <w:rsid w:val="001D64C6"/>
    <w:rsid w:val="001D6988"/>
    <w:rsid w:val="001D74B4"/>
    <w:rsid w:val="001D7665"/>
    <w:rsid w:val="001E0E84"/>
    <w:rsid w:val="001E1908"/>
    <w:rsid w:val="001E205F"/>
    <w:rsid w:val="001E24B3"/>
    <w:rsid w:val="001E250D"/>
    <w:rsid w:val="001E4543"/>
    <w:rsid w:val="001E4D48"/>
    <w:rsid w:val="001E5340"/>
    <w:rsid w:val="001E5862"/>
    <w:rsid w:val="001E5973"/>
    <w:rsid w:val="001E5A3D"/>
    <w:rsid w:val="001E6133"/>
    <w:rsid w:val="001E6AD9"/>
    <w:rsid w:val="001E6CD1"/>
    <w:rsid w:val="001E6DF9"/>
    <w:rsid w:val="001E6EC5"/>
    <w:rsid w:val="001E717F"/>
    <w:rsid w:val="001F00D2"/>
    <w:rsid w:val="001F0380"/>
    <w:rsid w:val="001F2A08"/>
    <w:rsid w:val="001F2FC5"/>
    <w:rsid w:val="001F32E0"/>
    <w:rsid w:val="001F67B2"/>
    <w:rsid w:val="001F6B61"/>
    <w:rsid w:val="001F6C96"/>
    <w:rsid w:val="0020032B"/>
    <w:rsid w:val="002011E5"/>
    <w:rsid w:val="002020A7"/>
    <w:rsid w:val="002022AA"/>
    <w:rsid w:val="00203D01"/>
    <w:rsid w:val="00203DC2"/>
    <w:rsid w:val="00204BFC"/>
    <w:rsid w:val="00204CED"/>
    <w:rsid w:val="00205D14"/>
    <w:rsid w:val="0020707F"/>
    <w:rsid w:val="002071AD"/>
    <w:rsid w:val="00210319"/>
    <w:rsid w:val="00211CB9"/>
    <w:rsid w:val="00211D89"/>
    <w:rsid w:val="0021249B"/>
    <w:rsid w:val="00212CE9"/>
    <w:rsid w:val="0021360D"/>
    <w:rsid w:val="00213DF8"/>
    <w:rsid w:val="0021420F"/>
    <w:rsid w:val="00215296"/>
    <w:rsid w:val="002156CF"/>
    <w:rsid w:val="00216DA4"/>
    <w:rsid w:val="002174E3"/>
    <w:rsid w:val="0021752F"/>
    <w:rsid w:val="00217E58"/>
    <w:rsid w:val="002206C9"/>
    <w:rsid w:val="0022194B"/>
    <w:rsid w:val="00221C93"/>
    <w:rsid w:val="00221D9E"/>
    <w:rsid w:val="00222085"/>
    <w:rsid w:val="00223478"/>
    <w:rsid w:val="002236F9"/>
    <w:rsid w:val="002239E2"/>
    <w:rsid w:val="00225CA5"/>
    <w:rsid w:val="00225D09"/>
    <w:rsid w:val="00225FF7"/>
    <w:rsid w:val="00226239"/>
    <w:rsid w:val="0022721B"/>
    <w:rsid w:val="00227344"/>
    <w:rsid w:val="002278CA"/>
    <w:rsid w:val="0023060F"/>
    <w:rsid w:val="00230764"/>
    <w:rsid w:val="00231359"/>
    <w:rsid w:val="002316DC"/>
    <w:rsid w:val="00231F41"/>
    <w:rsid w:val="00232772"/>
    <w:rsid w:val="00232B7E"/>
    <w:rsid w:val="00232CF1"/>
    <w:rsid w:val="00232E0E"/>
    <w:rsid w:val="00234833"/>
    <w:rsid w:val="00234A8B"/>
    <w:rsid w:val="00234B77"/>
    <w:rsid w:val="00235F1F"/>
    <w:rsid w:val="00236FD0"/>
    <w:rsid w:val="002373F7"/>
    <w:rsid w:val="00237971"/>
    <w:rsid w:val="00237C46"/>
    <w:rsid w:val="00237F14"/>
    <w:rsid w:val="002402E4"/>
    <w:rsid w:val="00240763"/>
    <w:rsid w:val="002413DD"/>
    <w:rsid w:val="002421A8"/>
    <w:rsid w:val="00242391"/>
    <w:rsid w:val="00242637"/>
    <w:rsid w:val="002430A1"/>
    <w:rsid w:val="00243284"/>
    <w:rsid w:val="00243340"/>
    <w:rsid w:val="00243DF8"/>
    <w:rsid w:val="0024499B"/>
    <w:rsid w:val="00244D09"/>
    <w:rsid w:val="00245D3B"/>
    <w:rsid w:val="00245EEA"/>
    <w:rsid w:val="00245F28"/>
    <w:rsid w:val="00246D20"/>
    <w:rsid w:val="00246E16"/>
    <w:rsid w:val="0024778D"/>
    <w:rsid w:val="0024797A"/>
    <w:rsid w:val="00247E0B"/>
    <w:rsid w:val="002508B2"/>
    <w:rsid w:val="00251E42"/>
    <w:rsid w:val="00252468"/>
    <w:rsid w:val="00252AF7"/>
    <w:rsid w:val="00253000"/>
    <w:rsid w:val="0025411C"/>
    <w:rsid w:val="002545D7"/>
    <w:rsid w:val="00254634"/>
    <w:rsid w:val="0025534B"/>
    <w:rsid w:val="002558CE"/>
    <w:rsid w:val="00255AA5"/>
    <w:rsid w:val="00256C50"/>
    <w:rsid w:val="00256E91"/>
    <w:rsid w:val="00256E92"/>
    <w:rsid w:val="00257AC8"/>
    <w:rsid w:val="00257CB4"/>
    <w:rsid w:val="0026005D"/>
    <w:rsid w:val="00260184"/>
    <w:rsid w:val="00260428"/>
    <w:rsid w:val="00260E5D"/>
    <w:rsid w:val="002624DB"/>
    <w:rsid w:val="00262952"/>
    <w:rsid w:val="00262BF0"/>
    <w:rsid w:val="00263D14"/>
    <w:rsid w:val="00264EF4"/>
    <w:rsid w:val="00265425"/>
    <w:rsid w:val="002655D5"/>
    <w:rsid w:val="002659A4"/>
    <w:rsid w:val="00265B73"/>
    <w:rsid w:val="00265B98"/>
    <w:rsid w:val="00265E26"/>
    <w:rsid w:val="00266647"/>
    <w:rsid w:val="00266F31"/>
    <w:rsid w:val="00267812"/>
    <w:rsid w:val="00267C50"/>
    <w:rsid w:val="00267D99"/>
    <w:rsid w:val="00270108"/>
    <w:rsid w:val="00270816"/>
    <w:rsid w:val="00270B93"/>
    <w:rsid w:val="00271D93"/>
    <w:rsid w:val="002739BE"/>
    <w:rsid w:val="0027535A"/>
    <w:rsid w:val="00275431"/>
    <w:rsid w:val="002759EE"/>
    <w:rsid w:val="00275BB6"/>
    <w:rsid w:val="002760D7"/>
    <w:rsid w:val="002761FB"/>
    <w:rsid w:val="002764A3"/>
    <w:rsid w:val="00276A69"/>
    <w:rsid w:val="00277A9F"/>
    <w:rsid w:val="00277C2A"/>
    <w:rsid w:val="002804B5"/>
    <w:rsid w:val="00280643"/>
    <w:rsid w:val="002807D5"/>
    <w:rsid w:val="002811BE"/>
    <w:rsid w:val="00281657"/>
    <w:rsid w:val="00281E91"/>
    <w:rsid w:val="00282876"/>
    <w:rsid w:val="0028311D"/>
    <w:rsid w:val="00283B72"/>
    <w:rsid w:val="00284A26"/>
    <w:rsid w:val="00284E77"/>
    <w:rsid w:val="00285B91"/>
    <w:rsid w:val="0028631D"/>
    <w:rsid w:val="0028686C"/>
    <w:rsid w:val="002877E5"/>
    <w:rsid w:val="002904E1"/>
    <w:rsid w:val="00290B0B"/>
    <w:rsid w:val="00290C83"/>
    <w:rsid w:val="00291056"/>
    <w:rsid w:val="00291F7F"/>
    <w:rsid w:val="00292DF9"/>
    <w:rsid w:val="002930CA"/>
    <w:rsid w:val="00293389"/>
    <w:rsid w:val="00293BDA"/>
    <w:rsid w:val="00294199"/>
    <w:rsid w:val="0029670C"/>
    <w:rsid w:val="00296CEB"/>
    <w:rsid w:val="002972A0"/>
    <w:rsid w:val="002A1AE7"/>
    <w:rsid w:val="002A1E6E"/>
    <w:rsid w:val="002A2F79"/>
    <w:rsid w:val="002A35B5"/>
    <w:rsid w:val="002A3990"/>
    <w:rsid w:val="002A48E6"/>
    <w:rsid w:val="002A4C3B"/>
    <w:rsid w:val="002A5A0F"/>
    <w:rsid w:val="002A5E77"/>
    <w:rsid w:val="002A6017"/>
    <w:rsid w:val="002A6544"/>
    <w:rsid w:val="002A74AB"/>
    <w:rsid w:val="002A7553"/>
    <w:rsid w:val="002A7A15"/>
    <w:rsid w:val="002A7FAB"/>
    <w:rsid w:val="002B027D"/>
    <w:rsid w:val="002B05C2"/>
    <w:rsid w:val="002B1551"/>
    <w:rsid w:val="002B178C"/>
    <w:rsid w:val="002B17E1"/>
    <w:rsid w:val="002B1C81"/>
    <w:rsid w:val="002B2508"/>
    <w:rsid w:val="002B25F4"/>
    <w:rsid w:val="002B2F74"/>
    <w:rsid w:val="002B3725"/>
    <w:rsid w:val="002B46A0"/>
    <w:rsid w:val="002B48C7"/>
    <w:rsid w:val="002B4A82"/>
    <w:rsid w:val="002B5A85"/>
    <w:rsid w:val="002B5AB0"/>
    <w:rsid w:val="002B5C99"/>
    <w:rsid w:val="002B67DC"/>
    <w:rsid w:val="002B6D59"/>
    <w:rsid w:val="002B6D5F"/>
    <w:rsid w:val="002B76B8"/>
    <w:rsid w:val="002B785C"/>
    <w:rsid w:val="002C033A"/>
    <w:rsid w:val="002C36DF"/>
    <w:rsid w:val="002C3AD0"/>
    <w:rsid w:val="002C443A"/>
    <w:rsid w:val="002C4666"/>
    <w:rsid w:val="002C65E3"/>
    <w:rsid w:val="002C68FE"/>
    <w:rsid w:val="002C6F92"/>
    <w:rsid w:val="002C7044"/>
    <w:rsid w:val="002C713C"/>
    <w:rsid w:val="002C7F4E"/>
    <w:rsid w:val="002D013D"/>
    <w:rsid w:val="002D036B"/>
    <w:rsid w:val="002D0A12"/>
    <w:rsid w:val="002D185A"/>
    <w:rsid w:val="002D1E96"/>
    <w:rsid w:val="002D252F"/>
    <w:rsid w:val="002D2AD4"/>
    <w:rsid w:val="002D2AD7"/>
    <w:rsid w:val="002D2DC6"/>
    <w:rsid w:val="002D4F33"/>
    <w:rsid w:val="002D52B5"/>
    <w:rsid w:val="002D5F70"/>
    <w:rsid w:val="002D6822"/>
    <w:rsid w:val="002D77A2"/>
    <w:rsid w:val="002D7C9C"/>
    <w:rsid w:val="002E155D"/>
    <w:rsid w:val="002E21AD"/>
    <w:rsid w:val="002E3137"/>
    <w:rsid w:val="002E34F7"/>
    <w:rsid w:val="002E3672"/>
    <w:rsid w:val="002E3852"/>
    <w:rsid w:val="002E4034"/>
    <w:rsid w:val="002E4894"/>
    <w:rsid w:val="002E490B"/>
    <w:rsid w:val="002E5E52"/>
    <w:rsid w:val="002E70C8"/>
    <w:rsid w:val="002E72B1"/>
    <w:rsid w:val="002E74FD"/>
    <w:rsid w:val="002E75DB"/>
    <w:rsid w:val="002E77F5"/>
    <w:rsid w:val="002F0446"/>
    <w:rsid w:val="002F0951"/>
    <w:rsid w:val="002F0E82"/>
    <w:rsid w:val="002F0FC6"/>
    <w:rsid w:val="002F1AB7"/>
    <w:rsid w:val="002F1B5B"/>
    <w:rsid w:val="002F1DB6"/>
    <w:rsid w:val="002F1F1C"/>
    <w:rsid w:val="002F27A7"/>
    <w:rsid w:val="002F3420"/>
    <w:rsid w:val="002F3CC2"/>
    <w:rsid w:val="002F3ED8"/>
    <w:rsid w:val="002F3FEE"/>
    <w:rsid w:val="002F43CC"/>
    <w:rsid w:val="002F5307"/>
    <w:rsid w:val="002F5901"/>
    <w:rsid w:val="002F661D"/>
    <w:rsid w:val="002F70FF"/>
    <w:rsid w:val="002F7BE6"/>
    <w:rsid w:val="003002B6"/>
    <w:rsid w:val="00301516"/>
    <w:rsid w:val="003016C3"/>
    <w:rsid w:val="00301CA6"/>
    <w:rsid w:val="00301E08"/>
    <w:rsid w:val="00302B5E"/>
    <w:rsid w:val="00302FBB"/>
    <w:rsid w:val="003034D1"/>
    <w:rsid w:val="00303943"/>
    <w:rsid w:val="00304D4D"/>
    <w:rsid w:val="00305647"/>
    <w:rsid w:val="00305E71"/>
    <w:rsid w:val="00305F9C"/>
    <w:rsid w:val="00306A40"/>
    <w:rsid w:val="00306B14"/>
    <w:rsid w:val="0030714D"/>
    <w:rsid w:val="00307647"/>
    <w:rsid w:val="00307C70"/>
    <w:rsid w:val="003104D6"/>
    <w:rsid w:val="00310888"/>
    <w:rsid w:val="00310A2C"/>
    <w:rsid w:val="00310B61"/>
    <w:rsid w:val="00310F0B"/>
    <w:rsid w:val="0031125F"/>
    <w:rsid w:val="0031147C"/>
    <w:rsid w:val="003116AE"/>
    <w:rsid w:val="0031212E"/>
    <w:rsid w:val="00312A7C"/>
    <w:rsid w:val="00312CB6"/>
    <w:rsid w:val="003132F8"/>
    <w:rsid w:val="00313876"/>
    <w:rsid w:val="0031412D"/>
    <w:rsid w:val="003145B9"/>
    <w:rsid w:val="00316348"/>
    <w:rsid w:val="00316979"/>
    <w:rsid w:val="00316A09"/>
    <w:rsid w:val="00320443"/>
    <w:rsid w:val="003206BB"/>
    <w:rsid w:val="00320941"/>
    <w:rsid w:val="00320DDE"/>
    <w:rsid w:val="003214A9"/>
    <w:rsid w:val="00321908"/>
    <w:rsid w:val="00321AF3"/>
    <w:rsid w:val="00322058"/>
    <w:rsid w:val="00322522"/>
    <w:rsid w:val="00322E1A"/>
    <w:rsid w:val="0032339A"/>
    <w:rsid w:val="00323A96"/>
    <w:rsid w:val="00323EF1"/>
    <w:rsid w:val="0032484B"/>
    <w:rsid w:val="00324A7C"/>
    <w:rsid w:val="00324F70"/>
    <w:rsid w:val="00325449"/>
    <w:rsid w:val="0032713B"/>
    <w:rsid w:val="003272E3"/>
    <w:rsid w:val="00327DC7"/>
    <w:rsid w:val="00330B92"/>
    <w:rsid w:val="00330F06"/>
    <w:rsid w:val="003312B0"/>
    <w:rsid w:val="00331438"/>
    <w:rsid w:val="003322B0"/>
    <w:rsid w:val="003326F4"/>
    <w:rsid w:val="003327E1"/>
    <w:rsid w:val="00332A27"/>
    <w:rsid w:val="00332A47"/>
    <w:rsid w:val="00332D22"/>
    <w:rsid w:val="0033322A"/>
    <w:rsid w:val="00333630"/>
    <w:rsid w:val="00333661"/>
    <w:rsid w:val="00333909"/>
    <w:rsid w:val="003339D0"/>
    <w:rsid w:val="00334977"/>
    <w:rsid w:val="00334E2A"/>
    <w:rsid w:val="003352C2"/>
    <w:rsid w:val="00335300"/>
    <w:rsid w:val="00335BDA"/>
    <w:rsid w:val="00335F60"/>
    <w:rsid w:val="003362F6"/>
    <w:rsid w:val="003379E6"/>
    <w:rsid w:val="00340A3E"/>
    <w:rsid w:val="00341A42"/>
    <w:rsid w:val="00341D8A"/>
    <w:rsid w:val="00341F5C"/>
    <w:rsid w:val="00343EDF"/>
    <w:rsid w:val="00344523"/>
    <w:rsid w:val="00344BA2"/>
    <w:rsid w:val="0034637E"/>
    <w:rsid w:val="0034656E"/>
    <w:rsid w:val="00346980"/>
    <w:rsid w:val="003469C1"/>
    <w:rsid w:val="00346DEB"/>
    <w:rsid w:val="0034757E"/>
    <w:rsid w:val="003508E2"/>
    <w:rsid w:val="00350DE0"/>
    <w:rsid w:val="00351BDB"/>
    <w:rsid w:val="003520A2"/>
    <w:rsid w:val="00352624"/>
    <w:rsid w:val="00352C93"/>
    <w:rsid w:val="003532EE"/>
    <w:rsid w:val="003535C8"/>
    <w:rsid w:val="00353FFF"/>
    <w:rsid w:val="00354A68"/>
    <w:rsid w:val="0035541B"/>
    <w:rsid w:val="0035541F"/>
    <w:rsid w:val="00355CDA"/>
    <w:rsid w:val="0035638E"/>
    <w:rsid w:val="003567CE"/>
    <w:rsid w:val="0035695B"/>
    <w:rsid w:val="00356CFF"/>
    <w:rsid w:val="003571F9"/>
    <w:rsid w:val="0035725B"/>
    <w:rsid w:val="00357A5F"/>
    <w:rsid w:val="00360791"/>
    <w:rsid w:val="0036084E"/>
    <w:rsid w:val="00360AF0"/>
    <w:rsid w:val="00360C5E"/>
    <w:rsid w:val="00360CFF"/>
    <w:rsid w:val="0036122E"/>
    <w:rsid w:val="00361932"/>
    <w:rsid w:val="00362A54"/>
    <w:rsid w:val="00362CF0"/>
    <w:rsid w:val="00362D7A"/>
    <w:rsid w:val="0036373C"/>
    <w:rsid w:val="003637E0"/>
    <w:rsid w:val="00363946"/>
    <w:rsid w:val="00364182"/>
    <w:rsid w:val="0036433B"/>
    <w:rsid w:val="0036458A"/>
    <w:rsid w:val="00364BB6"/>
    <w:rsid w:val="0036585D"/>
    <w:rsid w:val="00365BD6"/>
    <w:rsid w:val="0036611E"/>
    <w:rsid w:val="00366767"/>
    <w:rsid w:val="00366AD6"/>
    <w:rsid w:val="00366FB8"/>
    <w:rsid w:val="00370325"/>
    <w:rsid w:val="0037167D"/>
    <w:rsid w:val="0037214C"/>
    <w:rsid w:val="003721FA"/>
    <w:rsid w:val="003725DF"/>
    <w:rsid w:val="00372688"/>
    <w:rsid w:val="0037277F"/>
    <w:rsid w:val="00372F29"/>
    <w:rsid w:val="00373E6E"/>
    <w:rsid w:val="003743F3"/>
    <w:rsid w:val="0037445D"/>
    <w:rsid w:val="00374C81"/>
    <w:rsid w:val="0037524E"/>
    <w:rsid w:val="00375451"/>
    <w:rsid w:val="0037560B"/>
    <w:rsid w:val="003759CE"/>
    <w:rsid w:val="00375AB2"/>
    <w:rsid w:val="00375C24"/>
    <w:rsid w:val="00376672"/>
    <w:rsid w:val="00376712"/>
    <w:rsid w:val="00376A07"/>
    <w:rsid w:val="00376E5B"/>
    <w:rsid w:val="00377496"/>
    <w:rsid w:val="00377BCF"/>
    <w:rsid w:val="00380961"/>
    <w:rsid w:val="00381861"/>
    <w:rsid w:val="003825C7"/>
    <w:rsid w:val="00383300"/>
    <w:rsid w:val="00384A74"/>
    <w:rsid w:val="003858C7"/>
    <w:rsid w:val="00385A26"/>
    <w:rsid w:val="00385AF4"/>
    <w:rsid w:val="00386BCD"/>
    <w:rsid w:val="00386C11"/>
    <w:rsid w:val="00387892"/>
    <w:rsid w:val="003904F2"/>
    <w:rsid w:val="00390DB0"/>
    <w:rsid w:val="0039102F"/>
    <w:rsid w:val="00391DB5"/>
    <w:rsid w:val="00393915"/>
    <w:rsid w:val="00393E0C"/>
    <w:rsid w:val="0039464E"/>
    <w:rsid w:val="003947A0"/>
    <w:rsid w:val="00395031"/>
    <w:rsid w:val="0039611C"/>
    <w:rsid w:val="003963FE"/>
    <w:rsid w:val="00396586"/>
    <w:rsid w:val="00396D81"/>
    <w:rsid w:val="00397092"/>
    <w:rsid w:val="003A194E"/>
    <w:rsid w:val="003A211D"/>
    <w:rsid w:val="003A22E8"/>
    <w:rsid w:val="003A2F52"/>
    <w:rsid w:val="003A5449"/>
    <w:rsid w:val="003A569C"/>
    <w:rsid w:val="003A56CA"/>
    <w:rsid w:val="003A606E"/>
    <w:rsid w:val="003A60F0"/>
    <w:rsid w:val="003A6A6F"/>
    <w:rsid w:val="003B031C"/>
    <w:rsid w:val="003B06CA"/>
    <w:rsid w:val="003B070B"/>
    <w:rsid w:val="003B074F"/>
    <w:rsid w:val="003B0B07"/>
    <w:rsid w:val="003B0B18"/>
    <w:rsid w:val="003B0E3F"/>
    <w:rsid w:val="003B13BC"/>
    <w:rsid w:val="003B1502"/>
    <w:rsid w:val="003B1B46"/>
    <w:rsid w:val="003B2034"/>
    <w:rsid w:val="003B28FE"/>
    <w:rsid w:val="003B2E6B"/>
    <w:rsid w:val="003B3171"/>
    <w:rsid w:val="003B35E8"/>
    <w:rsid w:val="003B4437"/>
    <w:rsid w:val="003B4769"/>
    <w:rsid w:val="003B50CB"/>
    <w:rsid w:val="003B52B0"/>
    <w:rsid w:val="003B5608"/>
    <w:rsid w:val="003B5746"/>
    <w:rsid w:val="003B5E69"/>
    <w:rsid w:val="003B5F9C"/>
    <w:rsid w:val="003B6C79"/>
    <w:rsid w:val="003B70DF"/>
    <w:rsid w:val="003B7978"/>
    <w:rsid w:val="003C046B"/>
    <w:rsid w:val="003C054D"/>
    <w:rsid w:val="003C1631"/>
    <w:rsid w:val="003C1D2B"/>
    <w:rsid w:val="003C282B"/>
    <w:rsid w:val="003C29BE"/>
    <w:rsid w:val="003C3552"/>
    <w:rsid w:val="003C49BA"/>
    <w:rsid w:val="003C4D07"/>
    <w:rsid w:val="003C50A5"/>
    <w:rsid w:val="003C55B4"/>
    <w:rsid w:val="003C5C86"/>
    <w:rsid w:val="003C5FA2"/>
    <w:rsid w:val="003C6364"/>
    <w:rsid w:val="003C6633"/>
    <w:rsid w:val="003C7EA8"/>
    <w:rsid w:val="003D0189"/>
    <w:rsid w:val="003D0440"/>
    <w:rsid w:val="003D06DD"/>
    <w:rsid w:val="003D0899"/>
    <w:rsid w:val="003D17A1"/>
    <w:rsid w:val="003D1B41"/>
    <w:rsid w:val="003D24D8"/>
    <w:rsid w:val="003D3E92"/>
    <w:rsid w:val="003D4CC2"/>
    <w:rsid w:val="003D59B2"/>
    <w:rsid w:val="003D5FF6"/>
    <w:rsid w:val="003D6362"/>
    <w:rsid w:val="003D6796"/>
    <w:rsid w:val="003D6874"/>
    <w:rsid w:val="003D6D78"/>
    <w:rsid w:val="003D77BF"/>
    <w:rsid w:val="003D7FC2"/>
    <w:rsid w:val="003E04AA"/>
    <w:rsid w:val="003E0BE6"/>
    <w:rsid w:val="003E10EA"/>
    <w:rsid w:val="003E1F83"/>
    <w:rsid w:val="003E2057"/>
    <w:rsid w:val="003E21BE"/>
    <w:rsid w:val="003E2352"/>
    <w:rsid w:val="003E2D3B"/>
    <w:rsid w:val="003E3896"/>
    <w:rsid w:val="003E3C86"/>
    <w:rsid w:val="003E40E2"/>
    <w:rsid w:val="003E4BA5"/>
    <w:rsid w:val="003E55B6"/>
    <w:rsid w:val="003E5943"/>
    <w:rsid w:val="003E5A64"/>
    <w:rsid w:val="003E5BD5"/>
    <w:rsid w:val="003E5D7C"/>
    <w:rsid w:val="003E6ACE"/>
    <w:rsid w:val="003E6FBA"/>
    <w:rsid w:val="003E73A8"/>
    <w:rsid w:val="003E7D0F"/>
    <w:rsid w:val="003F1D28"/>
    <w:rsid w:val="003F1D76"/>
    <w:rsid w:val="003F2746"/>
    <w:rsid w:val="003F2EFD"/>
    <w:rsid w:val="003F3264"/>
    <w:rsid w:val="003F3627"/>
    <w:rsid w:val="003F420D"/>
    <w:rsid w:val="003F424C"/>
    <w:rsid w:val="003F45BB"/>
    <w:rsid w:val="003F4F90"/>
    <w:rsid w:val="003F64E6"/>
    <w:rsid w:val="003F6B24"/>
    <w:rsid w:val="003F6CBA"/>
    <w:rsid w:val="003F79FC"/>
    <w:rsid w:val="003F7BF2"/>
    <w:rsid w:val="004005C2"/>
    <w:rsid w:val="00401817"/>
    <w:rsid w:val="00401D96"/>
    <w:rsid w:val="0040273E"/>
    <w:rsid w:val="00402A52"/>
    <w:rsid w:val="00404BDC"/>
    <w:rsid w:val="00405485"/>
    <w:rsid w:val="00406949"/>
    <w:rsid w:val="00406A27"/>
    <w:rsid w:val="00406DC6"/>
    <w:rsid w:val="00406FF2"/>
    <w:rsid w:val="00407A38"/>
    <w:rsid w:val="00410103"/>
    <w:rsid w:val="00410A46"/>
    <w:rsid w:val="00412ED6"/>
    <w:rsid w:val="00413131"/>
    <w:rsid w:val="00413FC9"/>
    <w:rsid w:val="004148DF"/>
    <w:rsid w:val="0041542D"/>
    <w:rsid w:val="00415970"/>
    <w:rsid w:val="00415B32"/>
    <w:rsid w:val="0041616D"/>
    <w:rsid w:val="00416A36"/>
    <w:rsid w:val="0041782B"/>
    <w:rsid w:val="004179BB"/>
    <w:rsid w:val="00417DC9"/>
    <w:rsid w:val="00420230"/>
    <w:rsid w:val="00420AD5"/>
    <w:rsid w:val="00420EEE"/>
    <w:rsid w:val="0042179E"/>
    <w:rsid w:val="00421F9B"/>
    <w:rsid w:val="004222B0"/>
    <w:rsid w:val="004226D7"/>
    <w:rsid w:val="00422FC1"/>
    <w:rsid w:val="00423330"/>
    <w:rsid w:val="0042335D"/>
    <w:rsid w:val="00423A13"/>
    <w:rsid w:val="00423B4C"/>
    <w:rsid w:val="00424049"/>
    <w:rsid w:val="00424CE5"/>
    <w:rsid w:val="00425B6A"/>
    <w:rsid w:val="00425D99"/>
    <w:rsid w:val="00425FDA"/>
    <w:rsid w:val="00426A78"/>
    <w:rsid w:val="00427620"/>
    <w:rsid w:val="004304BC"/>
    <w:rsid w:val="00430517"/>
    <w:rsid w:val="004306B0"/>
    <w:rsid w:val="00431509"/>
    <w:rsid w:val="004318ED"/>
    <w:rsid w:val="00431AA1"/>
    <w:rsid w:val="00432076"/>
    <w:rsid w:val="00432B61"/>
    <w:rsid w:val="00432BB2"/>
    <w:rsid w:val="00434E88"/>
    <w:rsid w:val="004358C5"/>
    <w:rsid w:val="00437FC6"/>
    <w:rsid w:val="00440175"/>
    <w:rsid w:val="00440F3B"/>
    <w:rsid w:val="00442473"/>
    <w:rsid w:val="0044286B"/>
    <w:rsid w:val="00442EDD"/>
    <w:rsid w:val="00442F18"/>
    <w:rsid w:val="00443273"/>
    <w:rsid w:val="004434C7"/>
    <w:rsid w:val="004435C5"/>
    <w:rsid w:val="00443B15"/>
    <w:rsid w:val="004443AE"/>
    <w:rsid w:val="004453E1"/>
    <w:rsid w:val="00445708"/>
    <w:rsid w:val="0044601C"/>
    <w:rsid w:val="00446ACD"/>
    <w:rsid w:val="00446FF3"/>
    <w:rsid w:val="004473E5"/>
    <w:rsid w:val="00447A46"/>
    <w:rsid w:val="00447A99"/>
    <w:rsid w:val="004508D8"/>
    <w:rsid w:val="00450B04"/>
    <w:rsid w:val="00450FB9"/>
    <w:rsid w:val="00451613"/>
    <w:rsid w:val="00451D42"/>
    <w:rsid w:val="0045247F"/>
    <w:rsid w:val="00452911"/>
    <w:rsid w:val="00452ADC"/>
    <w:rsid w:val="00453775"/>
    <w:rsid w:val="00453E85"/>
    <w:rsid w:val="0045459A"/>
    <w:rsid w:val="00454683"/>
    <w:rsid w:val="00455155"/>
    <w:rsid w:val="0045567B"/>
    <w:rsid w:val="00455F28"/>
    <w:rsid w:val="00456039"/>
    <w:rsid w:val="004560FB"/>
    <w:rsid w:val="00456D26"/>
    <w:rsid w:val="00456E31"/>
    <w:rsid w:val="004571DD"/>
    <w:rsid w:val="004574E4"/>
    <w:rsid w:val="00457BD3"/>
    <w:rsid w:val="00457DB4"/>
    <w:rsid w:val="00457F3C"/>
    <w:rsid w:val="0046002E"/>
    <w:rsid w:val="00461111"/>
    <w:rsid w:val="004616AE"/>
    <w:rsid w:val="004629F1"/>
    <w:rsid w:val="00462CE0"/>
    <w:rsid w:val="004640B2"/>
    <w:rsid w:val="0046459E"/>
    <w:rsid w:val="004645E0"/>
    <w:rsid w:val="0046530E"/>
    <w:rsid w:val="00465346"/>
    <w:rsid w:val="00466710"/>
    <w:rsid w:val="00466888"/>
    <w:rsid w:val="00466BE4"/>
    <w:rsid w:val="00466DB1"/>
    <w:rsid w:val="00466DD3"/>
    <w:rsid w:val="00466EF0"/>
    <w:rsid w:val="00467DBC"/>
    <w:rsid w:val="00467FB1"/>
    <w:rsid w:val="004718E6"/>
    <w:rsid w:val="00471A1A"/>
    <w:rsid w:val="00471D92"/>
    <w:rsid w:val="004721A5"/>
    <w:rsid w:val="00472C2B"/>
    <w:rsid w:val="0047319D"/>
    <w:rsid w:val="00474730"/>
    <w:rsid w:val="00474857"/>
    <w:rsid w:val="00475E38"/>
    <w:rsid w:val="004765B4"/>
    <w:rsid w:val="00476A90"/>
    <w:rsid w:val="00476B02"/>
    <w:rsid w:val="00476C7A"/>
    <w:rsid w:val="00477341"/>
    <w:rsid w:val="0047757B"/>
    <w:rsid w:val="0048006C"/>
    <w:rsid w:val="0048093E"/>
    <w:rsid w:val="00480EE4"/>
    <w:rsid w:val="00481083"/>
    <w:rsid w:val="00482A1B"/>
    <w:rsid w:val="00483297"/>
    <w:rsid w:val="004833BB"/>
    <w:rsid w:val="00483EB8"/>
    <w:rsid w:val="00484967"/>
    <w:rsid w:val="0048501C"/>
    <w:rsid w:val="00486CF4"/>
    <w:rsid w:val="0048734E"/>
    <w:rsid w:val="00487682"/>
    <w:rsid w:val="0049001F"/>
    <w:rsid w:val="0049028B"/>
    <w:rsid w:val="00490E27"/>
    <w:rsid w:val="00491FFF"/>
    <w:rsid w:val="004923AE"/>
    <w:rsid w:val="00492871"/>
    <w:rsid w:val="00492B94"/>
    <w:rsid w:val="00492C68"/>
    <w:rsid w:val="00492FDB"/>
    <w:rsid w:val="004936CD"/>
    <w:rsid w:val="00494706"/>
    <w:rsid w:val="00495BB7"/>
    <w:rsid w:val="0049693C"/>
    <w:rsid w:val="00497406"/>
    <w:rsid w:val="00497A0A"/>
    <w:rsid w:val="00497C67"/>
    <w:rsid w:val="004A06D5"/>
    <w:rsid w:val="004A06DE"/>
    <w:rsid w:val="004A1773"/>
    <w:rsid w:val="004A24AE"/>
    <w:rsid w:val="004A2ACA"/>
    <w:rsid w:val="004A2ED4"/>
    <w:rsid w:val="004A3578"/>
    <w:rsid w:val="004A3713"/>
    <w:rsid w:val="004A3B13"/>
    <w:rsid w:val="004A3BED"/>
    <w:rsid w:val="004A3EA6"/>
    <w:rsid w:val="004A4ED0"/>
    <w:rsid w:val="004A530A"/>
    <w:rsid w:val="004A5862"/>
    <w:rsid w:val="004A5BBF"/>
    <w:rsid w:val="004A6010"/>
    <w:rsid w:val="004A70A6"/>
    <w:rsid w:val="004A7795"/>
    <w:rsid w:val="004A798B"/>
    <w:rsid w:val="004B06F0"/>
    <w:rsid w:val="004B0828"/>
    <w:rsid w:val="004B11B5"/>
    <w:rsid w:val="004B194B"/>
    <w:rsid w:val="004B1986"/>
    <w:rsid w:val="004B2380"/>
    <w:rsid w:val="004B290B"/>
    <w:rsid w:val="004B320E"/>
    <w:rsid w:val="004B3428"/>
    <w:rsid w:val="004B35F0"/>
    <w:rsid w:val="004B49F9"/>
    <w:rsid w:val="004B51E2"/>
    <w:rsid w:val="004B54AE"/>
    <w:rsid w:val="004B606A"/>
    <w:rsid w:val="004B6111"/>
    <w:rsid w:val="004B74F0"/>
    <w:rsid w:val="004B756C"/>
    <w:rsid w:val="004B7614"/>
    <w:rsid w:val="004C0027"/>
    <w:rsid w:val="004C1A11"/>
    <w:rsid w:val="004C23DF"/>
    <w:rsid w:val="004C28D3"/>
    <w:rsid w:val="004C461A"/>
    <w:rsid w:val="004C5285"/>
    <w:rsid w:val="004C557D"/>
    <w:rsid w:val="004C5A48"/>
    <w:rsid w:val="004C5ED0"/>
    <w:rsid w:val="004C60AC"/>
    <w:rsid w:val="004C6407"/>
    <w:rsid w:val="004C64A6"/>
    <w:rsid w:val="004C6593"/>
    <w:rsid w:val="004C76FD"/>
    <w:rsid w:val="004C7847"/>
    <w:rsid w:val="004D06D5"/>
    <w:rsid w:val="004D16EA"/>
    <w:rsid w:val="004D1991"/>
    <w:rsid w:val="004D19C8"/>
    <w:rsid w:val="004D1D0F"/>
    <w:rsid w:val="004D1FA5"/>
    <w:rsid w:val="004D2567"/>
    <w:rsid w:val="004D2D08"/>
    <w:rsid w:val="004D31BA"/>
    <w:rsid w:val="004D34AF"/>
    <w:rsid w:val="004D3510"/>
    <w:rsid w:val="004D3AE7"/>
    <w:rsid w:val="004D4914"/>
    <w:rsid w:val="004D4941"/>
    <w:rsid w:val="004D4F16"/>
    <w:rsid w:val="004D523C"/>
    <w:rsid w:val="004D569F"/>
    <w:rsid w:val="004D6E02"/>
    <w:rsid w:val="004D70DD"/>
    <w:rsid w:val="004D7858"/>
    <w:rsid w:val="004D796F"/>
    <w:rsid w:val="004D7DAF"/>
    <w:rsid w:val="004E0397"/>
    <w:rsid w:val="004E192B"/>
    <w:rsid w:val="004E253B"/>
    <w:rsid w:val="004E2789"/>
    <w:rsid w:val="004E2C97"/>
    <w:rsid w:val="004E3042"/>
    <w:rsid w:val="004E3247"/>
    <w:rsid w:val="004E3875"/>
    <w:rsid w:val="004E426F"/>
    <w:rsid w:val="004E46AC"/>
    <w:rsid w:val="004E4CBD"/>
    <w:rsid w:val="004E5539"/>
    <w:rsid w:val="004E5C25"/>
    <w:rsid w:val="004E5D1A"/>
    <w:rsid w:val="004E6A78"/>
    <w:rsid w:val="004E6D92"/>
    <w:rsid w:val="004E6FB1"/>
    <w:rsid w:val="004E7216"/>
    <w:rsid w:val="004E7AE5"/>
    <w:rsid w:val="004E7DC0"/>
    <w:rsid w:val="004F08AF"/>
    <w:rsid w:val="004F112C"/>
    <w:rsid w:val="004F1176"/>
    <w:rsid w:val="004F1996"/>
    <w:rsid w:val="004F1B17"/>
    <w:rsid w:val="004F1BA5"/>
    <w:rsid w:val="004F1D53"/>
    <w:rsid w:val="004F25D9"/>
    <w:rsid w:val="004F27AB"/>
    <w:rsid w:val="004F2A8A"/>
    <w:rsid w:val="004F2AFC"/>
    <w:rsid w:val="004F32E2"/>
    <w:rsid w:val="004F4503"/>
    <w:rsid w:val="004F4618"/>
    <w:rsid w:val="004F4DDA"/>
    <w:rsid w:val="004F535E"/>
    <w:rsid w:val="004F59CC"/>
    <w:rsid w:val="004F5B73"/>
    <w:rsid w:val="004F6263"/>
    <w:rsid w:val="004F632E"/>
    <w:rsid w:val="004F6517"/>
    <w:rsid w:val="004F6C44"/>
    <w:rsid w:val="004F73B4"/>
    <w:rsid w:val="004F74F9"/>
    <w:rsid w:val="004F7634"/>
    <w:rsid w:val="004F7892"/>
    <w:rsid w:val="004F7FB9"/>
    <w:rsid w:val="0050070C"/>
    <w:rsid w:val="00500A66"/>
    <w:rsid w:val="00500C2C"/>
    <w:rsid w:val="0050127E"/>
    <w:rsid w:val="005012F9"/>
    <w:rsid w:val="00501966"/>
    <w:rsid w:val="005021E8"/>
    <w:rsid w:val="00502C18"/>
    <w:rsid w:val="00502F47"/>
    <w:rsid w:val="00503DD0"/>
    <w:rsid w:val="00504812"/>
    <w:rsid w:val="005052BB"/>
    <w:rsid w:val="0050653E"/>
    <w:rsid w:val="005068E0"/>
    <w:rsid w:val="00507833"/>
    <w:rsid w:val="00507970"/>
    <w:rsid w:val="0051024C"/>
    <w:rsid w:val="005104E5"/>
    <w:rsid w:val="00511474"/>
    <w:rsid w:val="00511796"/>
    <w:rsid w:val="005119E3"/>
    <w:rsid w:val="00511CB5"/>
    <w:rsid w:val="00512A16"/>
    <w:rsid w:val="005136B6"/>
    <w:rsid w:val="0051375A"/>
    <w:rsid w:val="00515254"/>
    <w:rsid w:val="00516115"/>
    <w:rsid w:val="00516209"/>
    <w:rsid w:val="005165E0"/>
    <w:rsid w:val="00516DA5"/>
    <w:rsid w:val="00516E68"/>
    <w:rsid w:val="00517107"/>
    <w:rsid w:val="00520AEF"/>
    <w:rsid w:val="00520DAF"/>
    <w:rsid w:val="00521AB9"/>
    <w:rsid w:val="00522578"/>
    <w:rsid w:val="00522642"/>
    <w:rsid w:val="005228E8"/>
    <w:rsid w:val="00522E1D"/>
    <w:rsid w:val="00523A35"/>
    <w:rsid w:val="00524518"/>
    <w:rsid w:val="0052471B"/>
    <w:rsid w:val="005251A9"/>
    <w:rsid w:val="005254AF"/>
    <w:rsid w:val="005257B0"/>
    <w:rsid w:val="00525978"/>
    <w:rsid w:val="00526E9C"/>
    <w:rsid w:val="00527510"/>
    <w:rsid w:val="005275BC"/>
    <w:rsid w:val="00527995"/>
    <w:rsid w:val="00527E01"/>
    <w:rsid w:val="00530005"/>
    <w:rsid w:val="005302B8"/>
    <w:rsid w:val="005303C7"/>
    <w:rsid w:val="00530522"/>
    <w:rsid w:val="005305FF"/>
    <w:rsid w:val="00530C8B"/>
    <w:rsid w:val="00530E7D"/>
    <w:rsid w:val="005316F8"/>
    <w:rsid w:val="00531C5D"/>
    <w:rsid w:val="005323A5"/>
    <w:rsid w:val="005333DC"/>
    <w:rsid w:val="00533A34"/>
    <w:rsid w:val="00534D55"/>
    <w:rsid w:val="005357D3"/>
    <w:rsid w:val="00535B61"/>
    <w:rsid w:val="005374EA"/>
    <w:rsid w:val="00537753"/>
    <w:rsid w:val="00537907"/>
    <w:rsid w:val="005379E0"/>
    <w:rsid w:val="00537A89"/>
    <w:rsid w:val="0054018D"/>
    <w:rsid w:val="005402C7"/>
    <w:rsid w:val="00540D2A"/>
    <w:rsid w:val="00541E02"/>
    <w:rsid w:val="00541ED4"/>
    <w:rsid w:val="00542630"/>
    <w:rsid w:val="005427F8"/>
    <w:rsid w:val="005428C7"/>
    <w:rsid w:val="005428E0"/>
    <w:rsid w:val="00542D6C"/>
    <w:rsid w:val="00543496"/>
    <w:rsid w:val="0054449E"/>
    <w:rsid w:val="00544FCE"/>
    <w:rsid w:val="00544FF8"/>
    <w:rsid w:val="00545244"/>
    <w:rsid w:val="00545EE6"/>
    <w:rsid w:val="00546118"/>
    <w:rsid w:val="005463E0"/>
    <w:rsid w:val="005464F1"/>
    <w:rsid w:val="005470DD"/>
    <w:rsid w:val="00547177"/>
    <w:rsid w:val="00547864"/>
    <w:rsid w:val="00547B3C"/>
    <w:rsid w:val="00547B88"/>
    <w:rsid w:val="005500CF"/>
    <w:rsid w:val="00550551"/>
    <w:rsid w:val="00550D32"/>
    <w:rsid w:val="00552030"/>
    <w:rsid w:val="0055268B"/>
    <w:rsid w:val="005528DB"/>
    <w:rsid w:val="00552E7B"/>
    <w:rsid w:val="0055327F"/>
    <w:rsid w:val="00553918"/>
    <w:rsid w:val="00553EF4"/>
    <w:rsid w:val="005544DA"/>
    <w:rsid w:val="00556515"/>
    <w:rsid w:val="0055796C"/>
    <w:rsid w:val="00557ADA"/>
    <w:rsid w:val="00557B57"/>
    <w:rsid w:val="00557C26"/>
    <w:rsid w:val="00557D32"/>
    <w:rsid w:val="00560ABE"/>
    <w:rsid w:val="00560AD6"/>
    <w:rsid w:val="00561418"/>
    <w:rsid w:val="00561DCE"/>
    <w:rsid w:val="0056225D"/>
    <w:rsid w:val="005624BB"/>
    <w:rsid w:val="005626B7"/>
    <w:rsid w:val="005628A0"/>
    <w:rsid w:val="00562C90"/>
    <w:rsid w:val="0056391F"/>
    <w:rsid w:val="005640FD"/>
    <w:rsid w:val="00565137"/>
    <w:rsid w:val="00565742"/>
    <w:rsid w:val="00565DC3"/>
    <w:rsid w:val="00565F2D"/>
    <w:rsid w:val="0056611A"/>
    <w:rsid w:val="00567430"/>
    <w:rsid w:val="00567512"/>
    <w:rsid w:val="0056790C"/>
    <w:rsid w:val="00567B66"/>
    <w:rsid w:val="00567C3F"/>
    <w:rsid w:val="00570AEB"/>
    <w:rsid w:val="00570AF8"/>
    <w:rsid w:val="00570B59"/>
    <w:rsid w:val="00570DA6"/>
    <w:rsid w:val="00570E5D"/>
    <w:rsid w:val="0057175A"/>
    <w:rsid w:val="00571F71"/>
    <w:rsid w:val="00572090"/>
    <w:rsid w:val="00572355"/>
    <w:rsid w:val="0057273C"/>
    <w:rsid w:val="00572D09"/>
    <w:rsid w:val="00572EC4"/>
    <w:rsid w:val="00576513"/>
    <w:rsid w:val="005766DD"/>
    <w:rsid w:val="00576794"/>
    <w:rsid w:val="0057710E"/>
    <w:rsid w:val="005772AF"/>
    <w:rsid w:val="005776FC"/>
    <w:rsid w:val="00580614"/>
    <w:rsid w:val="00581458"/>
    <w:rsid w:val="00581461"/>
    <w:rsid w:val="00581F72"/>
    <w:rsid w:val="005825D9"/>
    <w:rsid w:val="00582AE6"/>
    <w:rsid w:val="00582B21"/>
    <w:rsid w:val="00582D28"/>
    <w:rsid w:val="005836C8"/>
    <w:rsid w:val="00584C15"/>
    <w:rsid w:val="00584EB4"/>
    <w:rsid w:val="00585C33"/>
    <w:rsid w:val="005860D9"/>
    <w:rsid w:val="0058677E"/>
    <w:rsid w:val="00586847"/>
    <w:rsid w:val="00586B08"/>
    <w:rsid w:val="005878FE"/>
    <w:rsid w:val="00587FD7"/>
    <w:rsid w:val="00590888"/>
    <w:rsid w:val="00591694"/>
    <w:rsid w:val="00592621"/>
    <w:rsid w:val="005929D6"/>
    <w:rsid w:val="00592B1B"/>
    <w:rsid w:val="00592D92"/>
    <w:rsid w:val="00592FA7"/>
    <w:rsid w:val="00593053"/>
    <w:rsid w:val="00594917"/>
    <w:rsid w:val="005955EB"/>
    <w:rsid w:val="00595724"/>
    <w:rsid w:val="00595FE6"/>
    <w:rsid w:val="00596842"/>
    <w:rsid w:val="00596F7D"/>
    <w:rsid w:val="00597CB8"/>
    <w:rsid w:val="005A00A6"/>
    <w:rsid w:val="005A0BAC"/>
    <w:rsid w:val="005A18A7"/>
    <w:rsid w:val="005A1CB1"/>
    <w:rsid w:val="005A1FA3"/>
    <w:rsid w:val="005A2730"/>
    <w:rsid w:val="005A2A6A"/>
    <w:rsid w:val="005A2EAB"/>
    <w:rsid w:val="005A2FD7"/>
    <w:rsid w:val="005A3659"/>
    <w:rsid w:val="005A3832"/>
    <w:rsid w:val="005A409A"/>
    <w:rsid w:val="005A4194"/>
    <w:rsid w:val="005A504E"/>
    <w:rsid w:val="005A5A63"/>
    <w:rsid w:val="005A696E"/>
    <w:rsid w:val="005B1D11"/>
    <w:rsid w:val="005B23B2"/>
    <w:rsid w:val="005B25EF"/>
    <w:rsid w:val="005B2D67"/>
    <w:rsid w:val="005B48FA"/>
    <w:rsid w:val="005B4B29"/>
    <w:rsid w:val="005B4C59"/>
    <w:rsid w:val="005B5416"/>
    <w:rsid w:val="005B582A"/>
    <w:rsid w:val="005B5BED"/>
    <w:rsid w:val="005B6217"/>
    <w:rsid w:val="005B647A"/>
    <w:rsid w:val="005B76CD"/>
    <w:rsid w:val="005B7C59"/>
    <w:rsid w:val="005B7D14"/>
    <w:rsid w:val="005C0138"/>
    <w:rsid w:val="005C075E"/>
    <w:rsid w:val="005C09D8"/>
    <w:rsid w:val="005C0EA0"/>
    <w:rsid w:val="005C0FC7"/>
    <w:rsid w:val="005C19C3"/>
    <w:rsid w:val="005C1D68"/>
    <w:rsid w:val="005C1E40"/>
    <w:rsid w:val="005C2105"/>
    <w:rsid w:val="005C2FA1"/>
    <w:rsid w:val="005C3905"/>
    <w:rsid w:val="005C4418"/>
    <w:rsid w:val="005C4C75"/>
    <w:rsid w:val="005C4C8D"/>
    <w:rsid w:val="005C52A0"/>
    <w:rsid w:val="005C740D"/>
    <w:rsid w:val="005C74B0"/>
    <w:rsid w:val="005D0ED4"/>
    <w:rsid w:val="005D179C"/>
    <w:rsid w:val="005D1A2F"/>
    <w:rsid w:val="005D1B2B"/>
    <w:rsid w:val="005D1B8B"/>
    <w:rsid w:val="005D26F2"/>
    <w:rsid w:val="005D2751"/>
    <w:rsid w:val="005D2A4D"/>
    <w:rsid w:val="005D3792"/>
    <w:rsid w:val="005D3E83"/>
    <w:rsid w:val="005D43C9"/>
    <w:rsid w:val="005D44F5"/>
    <w:rsid w:val="005D668D"/>
    <w:rsid w:val="005D6751"/>
    <w:rsid w:val="005D6E23"/>
    <w:rsid w:val="005D71E8"/>
    <w:rsid w:val="005D787C"/>
    <w:rsid w:val="005D791C"/>
    <w:rsid w:val="005E0A8B"/>
    <w:rsid w:val="005E0B3F"/>
    <w:rsid w:val="005E1CF9"/>
    <w:rsid w:val="005E1F1D"/>
    <w:rsid w:val="005E2834"/>
    <w:rsid w:val="005E3517"/>
    <w:rsid w:val="005E3972"/>
    <w:rsid w:val="005E4D07"/>
    <w:rsid w:val="005E4D46"/>
    <w:rsid w:val="005E5A8F"/>
    <w:rsid w:val="005E6470"/>
    <w:rsid w:val="005E70C7"/>
    <w:rsid w:val="005E72C7"/>
    <w:rsid w:val="005E764B"/>
    <w:rsid w:val="005E7768"/>
    <w:rsid w:val="005E77AA"/>
    <w:rsid w:val="005E7A27"/>
    <w:rsid w:val="005F147D"/>
    <w:rsid w:val="005F239B"/>
    <w:rsid w:val="005F348C"/>
    <w:rsid w:val="005F34DA"/>
    <w:rsid w:val="005F3579"/>
    <w:rsid w:val="005F3ADF"/>
    <w:rsid w:val="005F4605"/>
    <w:rsid w:val="005F647F"/>
    <w:rsid w:val="005F6D45"/>
    <w:rsid w:val="005F7E24"/>
    <w:rsid w:val="006009F2"/>
    <w:rsid w:val="0060104B"/>
    <w:rsid w:val="006015DC"/>
    <w:rsid w:val="00601BD4"/>
    <w:rsid w:val="00601C51"/>
    <w:rsid w:val="006028C3"/>
    <w:rsid w:val="00602E81"/>
    <w:rsid w:val="00603BD7"/>
    <w:rsid w:val="00603C96"/>
    <w:rsid w:val="00605998"/>
    <w:rsid w:val="00606120"/>
    <w:rsid w:val="0060619B"/>
    <w:rsid w:val="006065DC"/>
    <w:rsid w:val="00606A01"/>
    <w:rsid w:val="0060722A"/>
    <w:rsid w:val="00611419"/>
    <w:rsid w:val="00611AF2"/>
    <w:rsid w:val="006123A3"/>
    <w:rsid w:val="00612858"/>
    <w:rsid w:val="00612FCC"/>
    <w:rsid w:val="006135FC"/>
    <w:rsid w:val="00613D22"/>
    <w:rsid w:val="00613EC8"/>
    <w:rsid w:val="00614153"/>
    <w:rsid w:val="0061502D"/>
    <w:rsid w:val="00615235"/>
    <w:rsid w:val="00615465"/>
    <w:rsid w:val="00615994"/>
    <w:rsid w:val="00615AE2"/>
    <w:rsid w:val="00615C9A"/>
    <w:rsid w:val="006161FC"/>
    <w:rsid w:val="00617A1C"/>
    <w:rsid w:val="006207C2"/>
    <w:rsid w:val="00621037"/>
    <w:rsid w:val="006211DF"/>
    <w:rsid w:val="00621F96"/>
    <w:rsid w:val="006226A3"/>
    <w:rsid w:val="0062293D"/>
    <w:rsid w:val="00623497"/>
    <w:rsid w:val="00624D65"/>
    <w:rsid w:val="0062581F"/>
    <w:rsid w:val="006258D5"/>
    <w:rsid w:val="0062607B"/>
    <w:rsid w:val="00627315"/>
    <w:rsid w:val="00627798"/>
    <w:rsid w:val="00627CE9"/>
    <w:rsid w:val="00627E13"/>
    <w:rsid w:val="00627F0C"/>
    <w:rsid w:val="006307DA"/>
    <w:rsid w:val="006313BF"/>
    <w:rsid w:val="00631C05"/>
    <w:rsid w:val="00632428"/>
    <w:rsid w:val="00632752"/>
    <w:rsid w:val="0063299E"/>
    <w:rsid w:val="00632BE6"/>
    <w:rsid w:val="00633591"/>
    <w:rsid w:val="00633946"/>
    <w:rsid w:val="00634DEC"/>
    <w:rsid w:val="00635395"/>
    <w:rsid w:val="006357A0"/>
    <w:rsid w:val="00635F08"/>
    <w:rsid w:val="006368F9"/>
    <w:rsid w:val="006375D6"/>
    <w:rsid w:val="00637819"/>
    <w:rsid w:val="00640D49"/>
    <w:rsid w:val="0064143C"/>
    <w:rsid w:val="00641A0F"/>
    <w:rsid w:val="006422F3"/>
    <w:rsid w:val="00642852"/>
    <w:rsid w:val="006428DB"/>
    <w:rsid w:val="0064347E"/>
    <w:rsid w:val="0064369C"/>
    <w:rsid w:val="00644745"/>
    <w:rsid w:val="00644D99"/>
    <w:rsid w:val="00645810"/>
    <w:rsid w:val="006458B7"/>
    <w:rsid w:val="00645953"/>
    <w:rsid w:val="00646166"/>
    <w:rsid w:val="006465B3"/>
    <w:rsid w:val="00646787"/>
    <w:rsid w:val="00646F88"/>
    <w:rsid w:val="00647340"/>
    <w:rsid w:val="00647BC5"/>
    <w:rsid w:val="00650755"/>
    <w:rsid w:val="00650D4E"/>
    <w:rsid w:val="006513F0"/>
    <w:rsid w:val="00652D41"/>
    <w:rsid w:val="00652DC4"/>
    <w:rsid w:val="00652F26"/>
    <w:rsid w:val="00653630"/>
    <w:rsid w:val="00653A78"/>
    <w:rsid w:val="00653CDC"/>
    <w:rsid w:val="00653EB1"/>
    <w:rsid w:val="00654385"/>
    <w:rsid w:val="006544C4"/>
    <w:rsid w:val="006554BF"/>
    <w:rsid w:val="00655E0A"/>
    <w:rsid w:val="00656937"/>
    <w:rsid w:val="00656AB8"/>
    <w:rsid w:val="006572C0"/>
    <w:rsid w:val="006574A2"/>
    <w:rsid w:val="006603D5"/>
    <w:rsid w:val="00660557"/>
    <w:rsid w:val="006606AC"/>
    <w:rsid w:val="00660CC0"/>
    <w:rsid w:val="00660FCE"/>
    <w:rsid w:val="00661430"/>
    <w:rsid w:val="00661B9A"/>
    <w:rsid w:val="006629FE"/>
    <w:rsid w:val="00663014"/>
    <w:rsid w:val="006633FE"/>
    <w:rsid w:val="00663886"/>
    <w:rsid w:val="00663D48"/>
    <w:rsid w:val="00663D5D"/>
    <w:rsid w:val="006655D9"/>
    <w:rsid w:val="00665F29"/>
    <w:rsid w:val="0066610D"/>
    <w:rsid w:val="00666179"/>
    <w:rsid w:val="0066672C"/>
    <w:rsid w:val="0067015D"/>
    <w:rsid w:val="00671919"/>
    <w:rsid w:val="00671C59"/>
    <w:rsid w:val="00672F99"/>
    <w:rsid w:val="00673A42"/>
    <w:rsid w:val="00673CCD"/>
    <w:rsid w:val="00674035"/>
    <w:rsid w:val="00674CFA"/>
    <w:rsid w:val="006753BF"/>
    <w:rsid w:val="00675F86"/>
    <w:rsid w:val="006768EB"/>
    <w:rsid w:val="006775ED"/>
    <w:rsid w:val="00677D19"/>
    <w:rsid w:val="00680363"/>
    <w:rsid w:val="00680B52"/>
    <w:rsid w:val="006810E5"/>
    <w:rsid w:val="00683C73"/>
    <w:rsid w:val="00683FDF"/>
    <w:rsid w:val="006840C8"/>
    <w:rsid w:val="00684CB8"/>
    <w:rsid w:val="00685554"/>
    <w:rsid w:val="00687A51"/>
    <w:rsid w:val="00690A99"/>
    <w:rsid w:val="00690F53"/>
    <w:rsid w:val="0069136F"/>
    <w:rsid w:val="006914FB"/>
    <w:rsid w:val="00691A53"/>
    <w:rsid w:val="006933B8"/>
    <w:rsid w:val="006945DC"/>
    <w:rsid w:val="00694C9A"/>
    <w:rsid w:val="00694CEE"/>
    <w:rsid w:val="00695DF3"/>
    <w:rsid w:val="00695F77"/>
    <w:rsid w:val="00697954"/>
    <w:rsid w:val="006A0B09"/>
    <w:rsid w:val="006A0E5E"/>
    <w:rsid w:val="006A1103"/>
    <w:rsid w:val="006A13E2"/>
    <w:rsid w:val="006A20C9"/>
    <w:rsid w:val="006A272A"/>
    <w:rsid w:val="006A42C7"/>
    <w:rsid w:val="006A472A"/>
    <w:rsid w:val="006A4C6A"/>
    <w:rsid w:val="006A4E32"/>
    <w:rsid w:val="006A56F6"/>
    <w:rsid w:val="006A5921"/>
    <w:rsid w:val="006A60B8"/>
    <w:rsid w:val="006A656E"/>
    <w:rsid w:val="006A6C52"/>
    <w:rsid w:val="006A7C3B"/>
    <w:rsid w:val="006B04BB"/>
    <w:rsid w:val="006B0828"/>
    <w:rsid w:val="006B1531"/>
    <w:rsid w:val="006B1589"/>
    <w:rsid w:val="006B206C"/>
    <w:rsid w:val="006B26F5"/>
    <w:rsid w:val="006B2725"/>
    <w:rsid w:val="006B2966"/>
    <w:rsid w:val="006B2F38"/>
    <w:rsid w:val="006B30B5"/>
    <w:rsid w:val="006B339E"/>
    <w:rsid w:val="006B4105"/>
    <w:rsid w:val="006B4480"/>
    <w:rsid w:val="006B4CD2"/>
    <w:rsid w:val="006B4E01"/>
    <w:rsid w:val="006B5592"/>
    <w:rsid w:val="006B5907"/>
    <w:rsid w:val="006B59C4"/>
    <w:rsid w:val="006B5D7D"/>
    <w:rsid w:val="006B60C0"/>
    <w:rsid w:val="006B67E3"/>
    <w:rsid w:val="006B6CD2"/>
    <w:rsid w:val="006B710B"/>
    <w:rsid w:val="006B7249"/>
    <w:rsid w:val="006B7B63"/>
    <w:rsid w:val="006C013A"/>
    <w:rsid w:val="006C01AD"/>
    <w:rsid w:val="006C0224"/>
    <w:rsid w:val="006C0CA0"/>
    <w:rsid w:val="006C0F0D"/>
    <w:rsid w:val="006C1BFB"/>
    <w:rsid w:val="006C2942"/>
    <w:rsid w:val="006C2CF9"/>
    <w:rsid w:val="006C2EA5"/>
    <w:rsid w:val="006C41D1"/>
    <w:rsid w:val="006C4C5E"/>
    <w:rsid w:val="006C4EFA"/>
    <w:rsid w:val="006C5068"/>
    <w:rsid w:val="006C553A"/>
    <w:rsid w:val="006C57A1"/>
    <w:rsid w:val="006C5C01"/>
    <w:rsid w:val="006C5D6F"/>
    <w:rsid w:val="006C5F47"/>
    <w:rsid w:val="006C6819"/>
    <w:rsid w:val="006C7988"/>
    <w:rsid w:val="006D0480"/>
    <w:rsid w:val="006D0C70"/>
    <w:rsid w:val="006D10D1"/>
    <w:rsid w:val="006D19E9"/>
    <w:rsid w:val="006D1A5A"/>
    <w:rsid w:val="006D22C5"/>
    <w:rsid w:val="006D2706"/>
    <w:rsid w:val="006D2F31"/>
    <w:rsid w:val="006D319B"/>
    <w:rsid w:val="006D33B7"/>
    <w:rsid w:val="006D40EC"/>
    <w:rsid w:val="006D4C21"/>
    <w:rsid w:val="006D4E6C"/>
    <w:rsid w:val="006D5669"/>
    <w:rsid w:val="006D5E39"/>
    <w:rsid w:val="006D6944"/>
    <w:rsid w:val="006D6A39"/>
    <w:rsid w:val="006D6B0A"/>
    <w:rsid w:val="006D6DBE"/>
    <w:rsid w:val="006D737F"/>
    <w:rsid w:val="006D7466"/>
    <w:rsid w:val="006D7AE5"/>
    <w:rsid w:val="006E0001"/>
    <w:rsid w:val="006E0154"/>
    <w:rsid w:val="006E042E"/>
    <w:rsid w:val="006E06B5"/>
    <w:rsid w:val="006E08B9"/>
    <w:rsid w:val="006E119F"/>
    <w:rsid w:val="006E1954"/>
    <w:rsid w:val="006E1E8D"/>
    <w:rsid w:val="006E364F"/>
    <w:rsid w:val="006E45B1"/>
    <w:rsid w:val="006E481D"/>
    <w:rsid w:val="006E499C"/>
    <w:rsid w:val="006E4CF3"/>
    <w:rsid w:val="006E4DD9"/>
    <w:rsid w:val="006E4EA9"/>
    <w:rsid w:val="006E5743"/>
    <w:rsid w:val="006E6D88"/>
    <w:rsid w:val="006E7386"/>
    <w:rsid w:val="006E794D"/>
    <w:rsid w:val="006F05FF"/>
    <w:rsid w:val="006F11D5"/>
    <w:rsid w:val="006F19BF"/>
    <w:rsid w:val="006F38AB"/>
    <w:rsid w:val="006F3E08"/>
    <w:rsid w:val="006F42E5"/>
    <w:rsid w:val="006F4831"/>
    <w:rsid w:val="006F4B9F"/>
    <w:rsid w:val="006F5492"/>
    <w:rsid w:val="006F6141"/>
    <w:rsid w:val="006F63C2"/>
    <w:rsid w:val="006F684C"/>
    <w:rsid w:val="006F6EBB"/>
    <w:rsid w:val="006F71F6"/>
    <w:rsid w:val="006F73A5"/>
    <w:rsid w:val="006F7596"/>
    <w:rsid w:val="006F77CD"/>
    <w:rsid w:val="006F7DB0"/>
    <w:rsid w:val="0070020C"/>
    <w:rsid w:val="00700E4D"/>
    <w:rsid w:val="00700F71"/>
    <w:rsid w:val="00701A62"/>
    <w:rsid w:val="00701B59"/>
    <w:rsid w:val="00701F28"/>
    <w:rsid w:val="00702D96"/>
    <w:rsid w:val="00702EF5"/>
    <w:rsid w:val="00703CDB"/>
    <w:rsid w:val="00704063"/>
    <w:rsid w:val="00704EF8"/>
    <w:rsid w:val="007051D7"/>
    <w:rsid w:val="0070533D"/>
    <w:rsid w:val="007055F9"/>
    <w:rsid w:val="0070597E"/>
    <w:rsid w:val="00705BCF"/>
    <w:rsid w:val="007069CB"/>
    <w:rsid w:val="00706E13"/>
    <w:rsid w:val="00710560"/>
    <w:rsid w:val="0071195F"/>
    <w:rsid w:val="00711A01"/>
    <w:rsid w:val="00711B43"/>
    <w:rsid w:val="00712278"/>
    <w:rsid w:val="0071282B"/>
    <w:rsid w:val="00712A6C"/>
    <w:rsid w:val="00712B07"/>
    <w:rsid w:val="0071374D"/>
    <w:rsid w:val="0071380B"/>
    <w:rsid w:val="00713BAA"/>
    <w:rsid w:val="00713D15"/>
    <w:rsid w:val="00713E52"/>
    <w:rsid w:val="00714A13"/>
    <w:rsid w:val="00715360"/>
    <w:rsid w:val="0071610B"/>
    <w:rsid w:val="0071614D"/>
    <w:rsid w:val="00720959"/>
    <w:rsid w:val="00720E8B"/>
    <w:rsid w:val="0072124C"/>
    <w:rsid w:val="00723F56"/>
    <w:rsid w:val="0072487E"/>
    <w:rsid w:val="00724A19"/>
    <w:rsid w:val="00724F97"/>
    <w:rsid w:val="00726774"/>
    <w:rsid w:val="007270BF"/>
    <w:rsid w:val="0072736F"/>
    <w:rsid w:val="0072738D"/>
    <w:rsid w:val="00731DFC"/>
    <w:rsid w:val="007328EB"/>
    <w:rsid w:val="00732B3E"/>
    <w:rsid w:val="00733E7A"/>
    <w:rsid w:val="00735510"/>
    <w:rsid w:val="007361CE"/>
    <w:rsid w:val="00737D46"/>
    <w:rsid w:val="007403D9"/>
    <w:rsid w:val="0074046D"/>
    <w:rsid w:val="00740696"/>
    <w:rsid w:val="00740893"/>
    <w:rsid w:val="0074114D"/>
    <w:rsid w:val="007413C0"/>
    <w:rsid w:val="007418BD"/>
    <w:rsid w:val="0074195E"/>
    <w:rsid w:val="007421ED"/>
    <w:rsid w:val="0074241E"/>
    <w:rsid w:val="007424BC"/>
    <w:rsid w:val="00742622"/>
    <w:rsid w:val="00742D99"/>
    <w:rsid w:val="00743CDE"/>
    <w:rsid w:val="00744A57"/>
    <w:rsid w:val="00745036"/>
    <w:rsid w:val="00745250"/>
    <w:rsid w:val="007463ED"/>
    <w:rsid w:val="00746711"/>
    <w:rsid w:val="00746826"/>
    <w:rsid w:val="00746D7F"/>
    <w:rsid w:val="00747074"/>
    <w:rsid w:val="007470AD"/>
    <w:rsid w:val="00747E63"/>
    <w:rsid w:val="00750AC3"/>
    <w:rsid w:val="00751026"/>
    <w:rsid w:val="00751A83"/>
    <w:rsid w:val="00751F82"/>
    <w:rsid w:val="00752145"/>
    <w:rsid w:val="00752F5F"/>
    <w:rsid w:val="00753509"/>
    <w:rsid w:val="0075549C"/>
    <w:rsid w:val="00755AB2"/>
    <w:rsid w:val="00755D10"/>
    <w:rsid w:val="0075625F"/>
    <w:rsid w:val="00756728"/>
    <w:rsid w:val="00756CEE"/>
    <w:rsid w:val="007577D6"/>
    <w:rsid w:val="00760C74"/>
    <w:rsid w:val="00760D3A"/>
    <w:rsid w:val="00761D64"/>
    <w:rsid w:val="00762F09"/>
    <w:rsid w:val="00764193"/>
    <w:rsid w:val="00764A61"/>
    <w:rsid w:val="00764DF1"/>
    <w:rsid w:val="007650B1"/>
    <w:rsid w:val="0076575B"/>
    <w:rsid w:val="00765B1B"/>
    <w:rsid w:val="0076660D"/>
    <w:rsid w:val="00766A74"/>
    <w:rsid w:val="00767D27"/>
    <w:rsid w:val="007702C6"/>
    <w:rsid w:val="00770AFB"/>
    <w:rsid w:val="007719B7"/>
    <w:rsid w:val="007723B4"/>
    <w:rsid w:val="007724C7"/>
    <w:rsid w:val="00772E95"/>
    <w:rsid w:val="00773C7E"/>
    <w:rsid w:val="00773F6B"/>
    <w:rsid w:val="00774FF5"/>
    <w:rsid w:val="00775723"/>
    <w:rsid w:val="00775BCE"/>
    <w:rsid w:val="00776419"/>
    <w:rsid w:val="007766D0"/>
    <w:rsid w:val="00777443"/>
    <w:rsid w:val="007774F4"/>
    <w:rsid w:val="00780757"/>
    <w:rsid w:val="0078090D"/>
    <w:rsid w:val="007812EA"/>
    <w:rsid w:val="00782140"/>
    <w:rsid w:val="00782372"/>
    <w:rsid w:val="00782699"/>
    <w:rsid w:val="00782E58"/>
    <w:rsid w:val="0078392F"/>
    <w:rsid w:val="00783B47"/>
    <w:rsid w:val="0078417C"/>
    <w:rsid w:val="0078422D"/>
    <w:rsid w:val="00784A37"/>
    <w:rsid w:val="00785680"/>
    <w:rsid w:val="007856A6"/>
    <w:rsid w:val="00785E48"/>
    <w:rsid w:val="007860C4"/>
    <w:rsid w:val="00786163"/>
    <w:rsid w:val="0078682E"/>
    <w:rsid w:val="00787E31"/>
    <w:rsid w:val="00787F99"/>
    <w:rsid w:val="00790304"/>
    <w:rsid w:val="0079093B"/>
    <w:rsid w:val="0079099A"/>
    <w:rsid w:val="007910E7"/>
    <w:rsid w:val="0079231B"/>
    <w:rsid w:val="00792FD0"/>
    <w:rsid w:val="0079301B"/>
    <w:rsid w:val="00793C6B"/>
    <w:rsid w:val="00794391"/>
    <w:rsid w:val="00794B98"/>
    <w:rsid w:val="00797447"/>
    <w:rsid w:val="007A0418"/>
    <w:rsid w:val="007A0BBF"/>
    <w:rsid w:val="007A1621"/>
    <w:rsid w:val="007A1D7A"/>
    <w:rsid w:val="007A258E"/>
    <w:rsid w:val="007A677E"/>
    <w:rsid w:val="007A7713"/>
    <w:rsid w:val="007B16A5"/>
    <w:rsid w:val="007B170A"/>
    <w:rsid w:val="007B1C0F"/>
    <w:rsid w:val="007B27BD"/>
    <w:rsid w:val="007B329E"/>
    <w:rsid w:val="007B3F78"/>
    <w:rsid w:val="007B405B"/>
    <w:rsid w:val="007B4E9D"/>
    <w:rsid w:val="007B52CA"/>
    <w:rsid w:val="007B5EFD"/>
    <w:rsid w:val="007B6CE4"/>
    <w:rsid w:val="007B758D"/>
    <w:rsid w:val="007B7ABD"/>
    <w:rsid w:val="007C082F"/>
    <w:rsid w:val="007C10DA"/>
    <w:rsid w:val="007C111F"/>
    <w:rsid w:val="007C1667"/>
    <w:rsid w:val="007C19A0"/>
    <w:rsid w:val="007C24DF"/>
    <w:rsid w:val="007C35CB"/>
    <w:rsid w:val="007C51FF"/>
    <w:rsid w:val="007C53B1"/>
    <w:rsid w:val="007C5C17"/>
    <w:rsid w:val="007C6132"/>
    <w:rsid w:val="007C6893"/>
    <w:rsid w:val="007C728B"/>
    <w:rsid w:val="007C7E09"/>
    <w:rsid w:val="007D0948"/>
    <w:rsid w:val="007D0B97"/>
    <w:rsid w:val="007D0DB5"/>
    <w:rsid w:val="007D16D5"/>
    <w:rsid w:val="007D1BE9"/>
    <w:rsid w:val="007D37BA"/>
    <w:rsid w:val="007D3EC8"/>
    <w:rsid w:val="007D405D"/>
    <w:rsid w:val="007D4136"/>
    <w:rsid w:val="007D475F"/>
    <w:rsid w:val="007D4D47"/>
    <w:rsid w:val="007D4E7E"/>
    <w:rsid w:val="007D5775"/>
    <w:rsid w:val="007D5F7C"/>
    <w:rsid w:val="007D733B"/>
    <w:rsid w:val="007D78A2"/>
    <w:rsid w:val="007E113F"/>
    <w:rsid w:val="007E1EE4"/>
    <w:rsid w:val="007E23A3"/>
    <w:rsid w:val="007E383F"/>
    <w:rsid w:val="007E39F9"/>
    <w:rsid w:val="007E3B48"/>
    <w:rsid w:val="007E4314"/>
    <w:rsid w:val="007E464B"/>
    <w:rsid w:val="007E522F"/>
    <w:rsid w:val="007E5641"/>
    <w:rsid w:val="007E6309"/>
    <w:rsid w:val="007E633E"/>
    <w:rsid w:val="007E639E"/>
    <w:rsid w:val="007E6DDA"/>
    <w:rsid w:val="007E6EB4"/>
    <w:rsid w:val="007E77FA"/>
    <w:rsid w:val="007F0111"/>
    <w:rsid w:val="007F043A"/>
    <w:rsid w:val="007F09A5"/>
    <w:rsid w:val="007F220C"/>
    <w:rsid w:val="007F2270"/>
    <w:rsid w:val="007F2682"/>
    <w:rsid w:val="007F2F5B"/>
    <w:rsid w:val="007F2FC2"/>
    <w:rsid w:val="007F309B"/>
    <w:rsid w:val="007F3490"/>
    <w:rsid w:val="007F3DFC"/>
    <w:rsid w:val="007F40B5"/>
    <w:rsid w:val="007F49B2"/>
    <w:rsid w:val="007F4CEA"/>
    <w:rsid w:val="007F4DD7"/>
    <w:rsid w:val="007F54A4"/>
    <w:rsid w:val="007F5E61"/>
    <w:rsid w:val="007F6B6A"/>
    <w:rsid w:val="007F6C89"/>
    <w:rsid w:val="007F700A"/>
    <w:rsid w:val="007F732E"/>
    <w:rsid w:val="007F7335"/>
    <w:rsid w:val="007F75D0"/>
    <w:rsid w:val="007F7899"/>
    <w:rsid w:val="007F7ACB"/>
    <w:rsid w:val="008012B2"/>
    <w:rsid w:val="00801742"/>
    <w:rsid w:val="00802134"/>
    <w:rsid w:val="00802687"/>
    <w:rsid w:val="00802703"/>
    <w:rsid w:val="00802EC2"/>
    <w:rsid w:val="00803407"/>
    <w:rsid w:val="008039E6"/>
    <w:rsid w:val="00803D73"/>
    <w:rsid w:val="00804DFC"/>
    <w:rsid w:val="008058CC"/>
    <w:rsid w:val="00805AD7"/>
    <w:rsid w:val="00805BD1"/>
    <w:rsid w:val="00805FC8"/>
    <w:rsid w:val="0080643D"/>
    <w:rsid w:val="00806BAA"/>
    <w:rsid w:val="00806F63"/>
    <w:rsid w:val="00807372"/>
    <w:rsid w:val="00807E13"/>
    <w:rsid w:val="008100ED"/>
    <w:rsid w:val="00810149"/>
    <w:rsid w:val="008104D4"/>
    <w:rsid w:val="00810D42"/>
    <w:rsid w:val="008110CE"/>
    <w:rsid w:val="008110E5"/>
    <w:rsid w:val="008111D7"/>
    <w:rsid w:val="00811533"/>
    <w:rsid w:val="00811A58"/>
    <w:rsid w:val="00812917"/>
    <w:rsid w:val="00813792"/>
    <w:rsid w:val="008140C3"/>
    <w:rsid w:val="008143E6"/>
    <w:rsid w:val="00814D65"/>
    <w:rsid w:val="008155F2"/>
    <w:rsid w:val="00816F88"/>
    <w:rsid w:val="00820AD4"/>
    <w:rsid w:val="00823B88"/>
    <w:rsid w:val="008245CD"/>
    <w:rsid w:val="00825E14"/>
    <w:rsid w:val="008269CD"/>
    <w:rsid w:val="00826AE3"/>
    <w:rsid w:val="00827CC5"/>
    <w:rsid w:val="008307A3"/>
    <w:rsid w:val="0083083B"/>
    <w:rsid w:val="00830F5C"/>
    <w:rsid w:val="008333F3"/>
    <w:rsid w:val="00833B99"/>
    <w:rsid w:val="00834298"/>
    <w:rsid w:val="00835580"/>
    <w:rsid w:val="00836F5F"/>
    <w:rsid w:val="00837A7B"/>
    <w:rsid w:val="00837F6A"/>
    <w:rsid w:val="008400D9"/>
    <w:rsid w:val="008416DE"/>
    <w:rsid w:val="008417FB"/>
    <w:rsid w:val="00841862"/>
    <w:rsid w:val="00841B5D"/>
    <w:rsid w:val="00842126"/>
    <w:rsid w:val="0084258A"/>
    <w:rsid w:val="0084345B"/>
    <w:rsid w:val="008460A0"/>
    <w:rsid w:val="008460DF"/>
    <w:rsid w:val="008468BC"/>
    <w:rsid w:val="00846D17"/>
    <w:rsid w:val="008476C3"/>
    <w:rsid w:val="00847A2B"/>
    <w:rsid w:val="00850204"/>
    <w:rsid w:val="00850489"/>
    <w:rsid w:val="00850CEE"/>
    <w:rsid w:val="00850F34"/>
    <w:rsid w:val="008513E0"/>
    <w:rsid w:val="008515BC"/>
    <w:rsid w:val="008517BC"/>
    <w:rsid w:val="00851D66"/>
    <w:rsid w:val="008531B7"/>
    <w:rsid w:val="00853769"/>
    <w:rsid w:val="0085382B"/>
    <w:rsid w:val="00853C7B"/>
    <w:rsid w:val="00853DE7"/>
    <w:rsid w:val="0085451A"/>
    <w:rsid w:val="00854CC9"/>
    <w:rsid w:val="00855040"/>
    <w:rsid w:val="0085560E"/>
    <w:rsid w:val="00855FE7"/>
    <w:rsid w:val="00856CA2"/>
    <w:rsid w:val="00860730"/>
    <w:rsid w:val="008613FD"/>
    <w:rsid w:val="00862254"/>
    <w:rsid w:val="008627A5"/>
    <w:rsid w:val="00862BB3"/>
    <w:rsid w:val="00863034"/>
    <w:rsid w:val="00864C97"/>
    <w:rsid w:val="008659C0"/>
    <w:rsid w:val="00865AC8"/>
    <w:rsid w:val="00865CE8"/>
    <w:rsid w:val="00866F2E"/>
    <w:rsid w:val="008677F4"/>
    <w:rsid w:val="00870948"/>
    <w:rsid w:val="00871796"/>
    <w:rsid w:val="00871BBC"/>
    <w:rsid w:val="00872AD0"/>
    <w:rsid w:val="00873BF6"/>
    <w:rsid w:val="0087409C"/>
    <w:rsid w:val="0087623C"/>
    <w:rsid w:val="008767C7"/>
    <w:rsid w:val="0087774A"/>
    <w:rsid w:val="00877EDF"/>
    <w:rsid w:val="008808EF"/>
    <w:rsid w:val="00882040"/>
    <w:rsid w:val="00882395"/>
    <w:rsid w:val="00882B7F"/>
    <w:rsid w:val="00882CE7"/>
    <w:rsid w:val="008831A0"/>
    <w:rsid w:val="00883237"/>
    <w:rsid w:val="00884708"/>
    <w:rsid w:val="00885A4E"/>
    <w:rsid w:val="00885B77"/>
    <w:rsid w:val="008863BB"/>
    <w:rsid w:val="008871A3"/>
    <w:rsid w:val="00887B7E"/>
    <w:rsid w:val="00887CE1"/>
    <w:rsid w:val="00887F4A"/>
    <w:rsid w:val="00890168"/>
    <w:rsid w:val="00890254"/>
    <w:rsid w:val="008912AC"/>
    <w:rsid w:val="008918EF"/>
    <w:rsid w:val="00891AB5"/>
    <w:rsid w:val="00891B51"/>
    <w:rsid w:val="00891D04"/>
    <w:rsid w:val="00891F31"/>
    <w:rsid w:val="00892576"/>
    <w:rsid w:val="00892E92"/>
    <w:rsid w:val="008936C0"/>
    <w:rsid w:val="0089500E"/>
    <w:rsid w:val="00895342"/>
    <w:rsid w:val="00895B04"/>
    <w:rsid w:val="00896E10"/>
    <w:rsid w:val="00897763"/>
    <w:rsid w:val="00897F51"/>
    <w:rsid w:val="008A0592"/>
    <w:rsid w:val="008A2470"/>
    <w:rsid w:val="008A28D8"/>
    <w:rsid w:val="008A32F7"/>
    <w:rsid w:val="008A3C26"/>
    <w:rsid w:val="008A440E"/>
    <w:rsid w:val="008A4432"/>
    <w:rsid w:val="008A47D3"/>
    <w:rsid w:val="008A47D7"/>
    <w:rsid w:val="008A4A16"/>
    <w:rsid w:val="008A56E9"/>
    <w:rsid w:val="008A5BB0"/>
    <w:rsid w:val="008A602A"/>
    <w:rsid w:val="008A6077"/>
    <w:rsid w:val="008A6645"/>
    <w:rsid w:val="008A7FFB"/>
    <w:rsid w:val="008B0726"/>
    <w:rsid w:val="008B101D"/>
    <w:rsid w:val="008B1031"/>
    <w:rsid w:val="008B16BF"/>
    <w:rsid w:val="008B1D43"/>
    <w:rsid w:val="008B220A"/>
    <w:rsid w:val="008B3073"/>
    <w:rsid w:val="008B31B0"/>
    <w:rsid w:val="008B3344"/>
    <w:rsid w:val="008B3656"/>
    <w:rsid w:val="008B3855"/>
    <w:rsid w:val="008B39B8"/>
    <w:rsid w:val="008B40D2"/>
    <w:rsid w:val="008B517D"/>
    <w:rsid w:val="008B57CE"/>
    <w:rsid w:val="008B5E0E"/>
    <w:rsid w:val="008B5F74"/>
    <w:rsid w:val="008B6C97"/>
    <w:rsid w:val="008B71D1"/>
    <w:rsid w:val="008B7497"/>
    <w:rsid w:val="008B7D9F"/>
    <w:rsid w:val="008B7FE7"/>
    <w:rsid w:val="008C02CB"/>
    <w:rsid w:val="008C0B58"/>
    <w:rsid w:val="008C1423"/>
    <w:rsid w:val="008C1C0A"/>
    <w:rsid w:val="008C20C5"/>
    <w:rsid w:val="008C2D38"/>
    <w:rsid w:val="008C3446"/>
    <w:rsid w:val="008C3528"/>
    <w:rsid w:val="008C3F21"/>
    <w:rsid w:val="008C3F8C"/>
    <w:rsid w:val="008C431A"/>
    <w:rsid w:val="008C4900"/>
    <w:rsid w:val="008C55CE"/>
    <w:rsid w:val="008C56C9"/>
    <w:rsid w:val="008C59C3"/>
    <w:rsid w:val="008C64A7"/>
    <w:rsid w:val="008C67B3"/>
    <w:rsid w:val="008C71BC"/>
    <w:rsid w:val="008C71FC"/>
    <w:rsid w:val="008D003E"/>
    <w:rsid w:val="008D0438"/>
    <w:rsid w:val="008D0544"/>
    <w:rsid w:val="008D0570"/>
    <w:rsid w:val="008D0935"/>
    <w:rsid w:val="008D254F"/>
    <w:rsid w:val="008D2792"/>
    <w:rsid w:val="008D3001"/>
    <w:rsid w:val="008D41E8"/>
    <w:rsid w:val="008D4337"/>
    <w:rsid w:val="008D4505"/>
    <w:rsid w:val="008D4716"/>
    <w:rsid w:val="008D4B51"/>
    <w:rsid w:val="008D50FE"/>
    <w:rsid w:val="008D563D"/>
    <w:rsid w:val="008D5917"/>
    <w:rsid w:val="008D62D4"/>
    <w:rsid w:val="008D6914"/>
    <w:rsid w:val="008D77C6"/>
    <w:rsid w:val="008D7834"/>
    <w:rsid w:val="008D78BB"/>
    <w:rsid w:val="008D7A98"/>
    <w:rsid w:val="008D7AAC"/>
    <w:rsid w:val="008D7EB4"/>
    <w:rsid w:val="008E0A25"/>
    <w:rsid w:val="008E0C4A"/>
    <w:rsid w:val="008E0CF7"/>
    <w:rsid w:val="008E0F5A"/>
    <w:rsid w:val="008E12D5"/>
    <w:rsid w:val="008E1543"/>
    <w:rsid w:val="008E24E5"/>
    <w:rsid w:val="008E2A0E"/>
    <w:rsid w:val="008E4A6A"/>
    <w:rsid w:val="008E75EE"/>
    <w:rsid w:val="008F05EF"/>
    <w:rsid w:val="008F1B75"/>
    <w:rsid w:val="008F1E6B"/>
    <w:rsid w:val="008F233C"/>
    <w:rsid w:val="008F2595"/>
    <w:rsid w:val="008F337A"/>
    <w:rsid w:val="008F3DAB"/>
    <w:rsid w:val="008F637E"/>
    <w:rsid w:val="008F65E7"/>
    <w:rsid w:val="008F70C0"/>
    <w:rsid w:val="008F70ED"/>
    <w:rsid w:val="008F746D"/>
    <w:rsid w:val="009007E3"/>
    <w:rsid w:val="00900F6E"/>
    <w:rsid w:val="0090141D"/>
    <w:rsid w:val="0090201D"/>
    <w:rsid w:val="00902B78"/>
    <w:rsid w:val="0090328A"/>
    <w:rsid w:val="009034E4"/>
    <w:rsid w:val="00905344"/>
    <w:rsid w:val="00905435"/>
    <w:rsid w:val="00905557"/>
    <w:rsid w:val="00905F43"/>
    <w:rsid w:val="0090641E"/>
    <w:rsid w:val="009064E7"/>
    <w:rsid w:val="00907268"/>
    <w:rsid w:val="009076CC"/>
    <w:rsid w:val="00907F8B"/>
    <w:rsid w:val="0091008D"/>
    <w:rsid w:val="009102A3"/>
    <w:rsid w:val="0091092F"/>
    <w:rsid w:val="00912A13"/>
    <w:rsid w:val="00913167"/>
    <w:rsid w:val="00913B9E"/>
    <w:rsid w:val="009141C0"/>
    <w:rsid w:val="00915A00"/>
    <w:rsid w:val="009178E5"/>
    <w:rsid w:val="00921439"/>
    <w:rsid w:val="00921B24"/>
    <w:rsid w:val="009223AE"/>
    <w:rsid w:val="00922FD1"/>
    <w:rsid w:val="009234D0"/>
    <w:rsid w:val="0092388A"/>
    <w:rsid w:val="00923930"/>
    <w:rsid w:val="00923B88"/>
    <w:rsid w:val="00923FEE"/>
    <w:rsid w:val="00923FF5"/>
    <w:rsid w:val="00924012"/>
    <w:rsid w:val="009243A6"/>
    <w:rsid w:val="0092512C"/>
    <w:rsid w:val="009254B5"/>
    <w:rsid w:val="009254C4"/>
    <w:rsid w:val="009255D8"/>
    <w:rsid w:val="0092579B"/>
    <w:rsid w:val="0092582C"/>
    <w:rsid w:val="0092613F"/>
    <w:rsid w:val="00926FFD"/>
    <w:rsid w:val="009272B4"/>
    <w:rsid w:val="00930749"/>
    <w:rsid w:val="009307E2"/>
    <w:rsid w:val="00931064"/>
    <w:rsid w:val="00931132"/>
    <w:rsid w:val="00931413"/>
    <w:rsid w:val="00931A28"/>
    <w:rsid w:val="00931BE6"/>
    <w:rsid w:val="00932943"/>
    <w:rsid w:val="00932CB4"/>
    <w:rsid w:val="00933283"/>
    <w:rsid w:val="00933CFB"/>
    <w:rsid w:val="00933D5C"/>
    <w:rsid w:val="009358CF"/>
    <w:rsid w:val="009359F6"/>
    <w:rsid w:val="009365F0"/>
    <w:rsid w:val="009369EB"/>
    <w:rsid w:val="00940453"/>
    <w:rsid w:val="00940C30"/>
    <w:rsid w:val="00942222"/>
    <w:rsid w:val="009429BD"/>
    <w:rsid w:val="00943110"/>
    <w:rsid w:val="00943F5D"/>
    <w:rsid w:val="0094413C"/>
    <w:rsid w:val="0094436C"/>
    <w:rsid w:val="00944C16"/>
    <w:rsid w:val="00945421"/>
    <w:rsid w:val="009454B0"/>
    <w:rsid w:val="0094551B"/>
    <w:rsid w:val="00945526"/>
    <w:rsid w:val="00945542"/>
    <w:rsid w:val="00945616"/>
    <w:rsid w:val="0094575E"/>
    <w:rsid w:val="0094658C"/>
    <w:rsid w:val="0095093E"/>
    <w:rsid w:val="00950E15"/>
    <w:rsid w:val="00950F1F"/>
    <w:rsid w:val="00951803"/>
    <w:rsid w:val="00951AFF"/>
    <w:rsid w:val="00952306"/>
    <w:rsid w:val="009525C5"/>
    <w:rsid w:val="0095280F"/>
    <w:rsid w:val="00952A99"/>
    <w:rsid w:val="00952DF0"/>
    <w:rsid w:val="00953882"/>
    <w:rsid w:val="00953E67"/>
    <w:rsid w:val="00953F61"/>
    <w:rsid w:val="0095455C"/>
    <w:rsid w:val="009552FC"/>
    <w:rsid w:val="00955B37"/>
    <w:rsid w:val="009568BE"/>
    <w:rsid w:val="009600B0"/>
    <w:rsid w:val="009601C9"/>
    <w:rsid w:val="00960953"/>
    <w:rsid w:val="00960EF5"/>
    <w:rsid w:val="00961785"/>
    <w:rsid w:val="0096180C"/>
    <w:rsid w:val="0096270F"/>
    <w:rsid w:val="009627EF"/>
    <w:rsid w:val="00963043"/>
    <w:rsid w:val="00963255"/>
    <w:rsid w:val="00963266"/>
    <w:rsid w:val="00964524"/>
    <w:rsid w:val="00964DC1"/>
    <w:rsid w:val="009652BC"/>
    <w:rsid w:val="009656F7"/>
    <w:rsid w:val="00965889"/>
    <w:rsid w:val="00965AB0"/>
    <w:rsid w:val="00965FA0"/>
    <w:rsid w:val="00966EF6"/>
    <w:rsid w:val="00966FAC"/>
    <w:rsid w:val="00967609"/>
    <w:rsid w:val="00970612"/>
    <w:rsid w:val="00970F47"/>
    <w:rsid w:val="0097122D"/>
    <w:rsid w:val="0097190B"/>
    <w:rsid w:val="0097219C"/>
    <w:rsid w:val="00972241"/>
    <w:rsid w:val="00972617"/>
    <w:rsid w:val="00973E39"/>
    <w:rsid w:val="009749BA"/>
    <w:rsid w:val="00974C85"/>
    <w:rsid w:val="00976BCB"/>
    <w:rsid w:val="0098083E"/>
    <w:rsid w:val="0098163D"/>
    <w:rsid w:val="00981D99"/>
    <w:rsid w:val="00982251"/>
    <w:rsid w:val="00983397"/>
    <w:rsid w:val="00983438"/>
    <w:rsid w:val="00983CAF"/>
    <w:rsid w:val="00984806"/>
    <w:rsid w:val="00984C23"/>
    <w:rsid w:val="00984CE9"/>
    <w:rsid w:val="00984F43"/>
    <w:rsid w:val="009866AB"/>
    <w:rsid w:val="00986843"/>
    <w:rsid w:val="00986CE9"/>
    <w:rsid w:val="009874E6"/>
    <w:rsid w:val="009879A4"/>
    <w:rsid w:val="00987F1E"/>
    <w:rsid w:val="009908E8"/>
    <w:rsid w:val="00991260"/>
    <w:rsid w:val="0099267B"/>
    <w:rsid w:val="00992C4C"/>
    <w:rsid w:val="00993010"/>
    <w:rsid w:val="009936B7"/>
    <w:rsid w:val="00993D4F"/>
    <w:rsid w:val="00995230"/>
    <w:rsid w:val="009953C1"/>
    <w:rsid w:val="009960CB"/>
    <w:rsid w:val="00996387"/>
    <w:rsid w:val="00996A31"/>
    <w:rsid w:val="00996D9A"/>
    <w:rsid w:val="00996F5E"/>
    <w:rsid w:val="009973C6"/>
    <w:rsid w:val="00997C27"/>
    <w:rsid w:val="00997C6D"/>
    <w:rsid w:val="009A0231"/>
    <w:rsid w:val="009A065F"/>
    <w:rsid w:val="009A0ABB"/>
    <w:rsid w:val="009A0D29"/>
    <w:rsid w:val="009A2124"/>
    <w:rsid w:val="009A27C5"/>
    <w:rsid w:val="009A30B9"/>
    <w:rsid w:val="009A3DF4"/>
    <w:rsid w:val="009A3F56"/>
    <w:rsid w:val="009A4FC7"/>
    <w:rsid w:val="009A5EE9"/>
    <w:rsid w:val="009A6766"/>
    <w:rsid w:val="009A68A8"/>
    <w:rsid w:val="009A6B8C"/>
    <w:rsid w:val="009A6EE4"/>
    <w:rsid w:val="009A7F84"/>
    <w:rsid w:val="009B0089"/>
    <w:rsid w:val="009B05E1"/>
    <w:rsid w:val="009B2B8E"/>
    <w:rsid w:val="009B3253"/>
    <w:rsid w:val="009B32F3"/>
    <w:rsid w:val="009B338B"/>
    <w:rsid w:val="009B3634"/>
    <w:rsid w:val="009B3BE5"/>
    <w:rsid w:val="009B3FCA"/>
    <w:rsid w:val="009B4AFD"/>
    <w:rsid w:val="009B5BB8"/>
    <w:rsid w:val="009B728C"/>
    <w:rsid w:val="009B7582"/>
    <w:rsid w:val="009C0644"/>
    <w:rsid w:val="009C0721"/>
    <w:rsid w:val="009C0B54"/>
    <w:rsid w:val="009C0F0F"/>
    <w:rsid w:val="009C2118"/>
    <w:rsid w:val="009C30F0"/>
    <w:rsid w:val="009C4189"/>
    <w:rsid w:val="009C420C"/>
    <w:rsid w:val="009C472A"/>
    <w:rsid w:val="009C4850"/>
    <w:rsid w:val="009C57A8"/>
    <w:rsid w:val="009C5EBB"/>
    <w:rsid w:val="009C6628"/>
    <w:rsid w:val="009C70E9"/>
    <w:rsid w:val="009C715C"/>
    <w:rsid w:val="009C7959"/>
    <w:rsid w:val="009C79CB"/>
    <w:rsid w:val="009C7F48"/>
    <w:rsid w:val="009D01D1"/>
    <w:rsid w:val="009D0C69"/>
    <w:rsid w:val="009D1873"/>
    <w:rsid w:val="009D1D37"/>
    <w:rsid w:val="009D1F17"/>
    <w:rsid w:val="009D2AB7"/>
    <w:rsid w:val="009D3A9F"/>
    <w:rsid w:val="009D43F9"/>
    <w:rsid w:val="009D47C2"/>
    <w:rsid w:val="009D54DC"/>
    <w:rsid w:val="009D5526"/>
    <w:rsid w:val="009D5DF0"/>
    <w:rsid w:val="009D65C8"/>
    <w:rsid w:val="009D6D4A"/>
    <w:rsid w:val="009D6D91"/>
    <w:rsid w:val="009D720B"/>
    <w:rsid w:val="009D7396"/>
    <w:rsid w:val="009E0501"/>
    <w:rsid w:val="009E08DC"/>
    <w:rsid w:val="009E13CD"/>
    <w:rsid w:val="009E1AEC"/>
    <w:rsid w:val="009E1D03"/>
    <w:rsid w:val="009E1E56"/>
    <w:rsid w:val="009E1FD0"/>
    <w:rsid w:val="009E2631"/>
    <w:rsid w:val="009E263A"/>
    <w:rsid w:val="009E2C65"/>
    <w:rsid w:val="009E37AB"/>
    <w:rsid w:val="009E3BFE"/>
    <w:rsid w:val="009E4B5E"/>
    <w:rsid w:val="009E50A4"/>
    <w:rsid w:val="009E541E"/>
    <w:rsid w:val="009E561E"/>
    <w:rsid w:val="009E5828"/>
    <w:rsid w:val="009E732C"/>
    <w:rsid w:val="009E75AF"/>
    <w:rsid w:val="009E75CA"/>
    <w:rsid w:val="009E7D0F"/>
    <w:rsid w:val="009F0603"/>
    <w:rsid w:val="009F0B9D"/>
    <w:rsid w:val="009F11CA"/>
    <w:rsid w:val="009F1B8F"/>
    <w:rsid w:val="009F24D9"/>
    <w:rsid w:val="009F4808"/>
    <w:rsid w:val="009F52DD"/>
    <w:rsid w:val="009F5AB3"/>
    <w:rsid w:val="009F62C9"/>
    <w:rsid w:val="009F6CF9"/>
    <w:rsid w:val="009F7137"/>
    <w:rsid w:val="009F73F9"/>
    <w:rsid w:val="00A004CC"/>
    <w:rsid w:val="00A00839"/>
    <w:rsid w:val="00A00C48"/>
    <w:rsid w:val="00A01048"/>
    <w:rsid w:val="00A01F41"/>
    <w:rsid w:val="00A02483"/>
    <w:rsid w:val="00A02E54"/>
    <w:rsid w:val="00A030CA"/>
    <w:rsid w:val="00A03B4B"/>
    <w:rsid w:val="00A0449B"/>
    <w:rsid w:val="00A04CEB"/>
    <w:rsid w:val="00A04F29"/>
    <w:rsid w:val="00A06136"/>
    <w:rsid w:val="00A06988"/>
    <w:rsid w:val="00A06E7C"/>
    <w:rsid w:val="00A07102"/>
    <w:rsid w:val="00A0751C"/>
    <w:rsid w:val="00A07605"/>
    <w:rsid w:val="00A07C4B"/>
    <w:rsid w:val="00A10286"/>
    <w:rsid w:val="00A105CA"/>
    <w:rsid w:val="00A120B6"/>
    <w:rsid w:val="00A12EC6"/>
    <w:rsid w:val="00A131A9"/>
    <w:rsid w:val="00A132AB"/>
    <w:rsid w:val="00A14059"/>
    <w:rsid w:val="00A149EF"/>
    <w:rsid w:val="00A15CD9"/>
    <w:rsid w:val="00A1604E"/>
    <w:rsid w:val="00A16971"/>
    <w:rsid w:val="00A173AD"/>
    <w:rsid w:val="00A208C8"/>
    <w:rsid w:val="00A215BF"/>
    <w:rsid w:val="00A22557"/>
    <w:rsid w:val="00A22A4F"/>
    <w:rsid w:val="00A2380D"/>
    <w:rsid w:val="00A23B3B"/>
    <w:rsid w:val="00A23DDC"/>
    <w:rsid w:val="00A251D7"/>
    <w:rsid w:val="00A25760"/>
    <w:rsid w:val="00A25785"/>
    <w:rsid w:val="00A25B1E"/>
    <w:rsid w:val="00A25E2D"/>
    <w:rsid w:val="00A2622F"/>
    <w:rsid w:val="00A267B4"/>
    <w:rsid w:val="00A26B9D"/>
    <w:rsid w:val="00A27434"/>
    <w:rsid w:val="00A27DCC"/>
    <w:rsid w:val="00A30FB1"/>
    <w:rsid w:val="00A3185E"/>
    <w:rsid w:val="00A323A2"/>
    <w:rsid w:val="00A32C5B"/>
    <w:rsid w:val="00A32F44"/>
    <w:rsid w:val="00A342B4"/>
    <w:rsid w:val="00A355E3"/>
    <w:rsid w:val="00A36A27"/>
    <w:rsid w:val="00A36D7F"/>
    <w:rsid w:val="00A36F36"/>
    <w:rsid w:val="00A411D1"/>
    <w:rsid w:val="00A41860"/>
    <w:rsid w:val="00A41A97"/>
    <w:rsid w:val="00A41FA3"/>
    <w:rsid w:val="00A42B39"/>
    <w:rsid w:val="00A4301A"/>
    <w:rsid w:val="00A4312C"/>
    <w:rsid w:val="00A441FE"/>
    <w:rsid w:val="00A4452F"/>
    <w:rsid w:val="00A446CF"/>
    <w:rsid w:val="00A464DD"/>
    <w:rsid w:val="00A469B6"/>
    <w:rsid w:val="00A469E2"/>
    <w:rsid w:val="00A46BC0"/>
    <w:rsid w:val="00A46F95"/>
    <w:rsid w:val="00A51420"/>
    <w:rsid w:val="00A5181E"/>
    <w:rsid w:val="00A51E20"/>
    <w:rsid w:val="00A521A8"/>
    <w:rsid w:val="00A526B9"/>
    <w:rsid w:val="00A52C9D"/>
    <w:rsid w:val="00A53313"/>
    <w:rsid w:val="00A53923"/>
    <w:rsid w:val="00A53B22"/>
    <w:rsid w:val="00A53CFF"/>
    <w:rsid w:val="00A53D11"/>
    <w:rsid w:val="00A54405"/>
    <w:rsid w:val="00A54441"/>
    <w:rsid w:val="00A55037"/>
    <w:rsid w:val="00A552BD"/>
    <w:rsid w:val="00A557BD"/>
    <w:rsid w:val="00A55B75"/>
    <w:rsid w:val="00A5641B"/>
    <w:rsid w:val="00A57166"/>
    <w:rsid w:val="00A57396"/>
    <w:rsid w:val="00A57C8F"/>
    <w:rsid w:val="00A60B4A"/>
    <w:rsid w:val="00A60F69"/>
    <w:rsid w:val="00A6156B"/>
    <w:rsid w:val="00A620C7"/>
    <w:rsid w:val="00A625F0"/>
    <w:rsid w:val="00A62636"/>
    <w:rsid w:val="00A6265D"/>
    <w:rsid w:val="00A634B4"/>
    <w:rsid w:val="00A64208"/>
    <w:rsid w:val="00A64D77"/>
    <w:rsid w:val="00A65175"/>
    <w:rsid w:val="00A65194"/>
    <w:rsid w:val="00A65BA5"/>
    <w:rsid w:val="00A664DB"/>
    <w:rsid w:val="00A672C3"/>
    <w:rsid w:val="00A67F83"/>
    <w:rsid w:val="00A701E8"/>
    <w:rsid w:val="00A70A6F"/>
    <w:rsid w:val="00A70FC1"/>
    <w:rsid w:val="00A71302"/>
    <w:rsid w:val="00A719E6"/>
    <w:rsid w:val="00A71B8F"/>
    <w:rsid w:val="00A7311C"/>
    <w:rsid w:val="00A7530E"/>
    <w:rsid w:val="00A75674"/>
    <w:rsid w:val="00A75E93"/>
    <w:rsid w:val="00A77E2C"/>
    <w:rsid w:val="00A77EDA"/>
    <w:rsid w:val="00A80FA7"/>
    <w:rsid w:val="00A81084"/>
    <w:rsid w:val="00A81251"/>
    <w:rsid w:val="00A81AFD"/>
    <w:rsid w:val="00A81BC1"/>
    <w:rsid w:val="00A8246A"/>
    <w:rsid w:val="00A82EC4"/>
    <w:rsid w:val="00A83EF1"/>
    <w:rsid w:val="00A84005"/>
    <w:rsid w:val="00A84A66"/>
    <w:rsid w:val="00A85EF0"/>
    <w:rsid w:val="00A85F87"/>
    <w:rsid w:val="00A868EA"/>
    <w:rsid w:val="00A87542"/>
    <w:rsid w:val="00A87DE4"/>
    <w:rsid w:val="00A90F7B"/>
    <w:rsid w:val="00A9181E"/>
    <w:rsid w:val="00A92018"/>
    <w:rsid w:val="00A9207B"/>
    <w:rsid w:val="00A923E4"/>
    <w:rsid w:val="00A935A1"/>
    <w:rsid w:val="00A9424B"/>
    <w:rsid w:val="00A9434A"/>
    <w:rsid w:val="00A94463"/>
    <w:rsid w:val="00A96061"/>
    <w:rsid w:val="00A96455"/>
    <w:rsid w:val="00A97287"/>
    <w:rsid w:val="00A972B7"/>
    <w:rsid w:val="00AA0841"/>
    <w:rsid w:val="00AA08F3"/>
    <w:rsid w:val="00AA09AA"/>
    <w:rsid w:val="00AA0A53"/>
    <w:rsid w:val="00AA1C17"/>
    <w:rsid w:val="00AA1C68"/>
    <w:rsid w:val="00AA263E"/>
    <w:rsid w:val="00AA3383"/>
    <w:rsid w:val="00AA377D"/>
    <w:rsid w:val="00AA3A94"/>
    <w:rsid w:val="00AA3DA0"/>
    <w:rsid w:val="00AA4566"/>
    <w:rsid w:val="00AA47F1"/>
    <w:rsid w:val="00AA4E92"/>
    <w:rsid w:val="00AA72D2"/>
    <w:rsid w:val="00AA74AB"/>
    <w:rsid w:val="00AB0198"/>
    <w:rsid w:val="00AB0613"/>
    <w:rsid w:val="00AB1151"/>
    <w:rsid w:val="00AB16BE"/>
    <w:rsid w:val="00AB16FB"/>
    <w:rsid w:val="00AB19CD"/>
    <w:rsid w:val="00AB2643"/>
    <w:rsid w:val="00AB2E4C"/>
    <w:rsid w:val="00AB3151"/>
    <w:rsid w:val="00AB355C"/>
    <w:rsid w:val="00AB388D"/>
    <w:rsid w:val="00AB4CE9"/>
    <w:rsid w:val="00AB5078"/>
    <w:rsid w:val="00AB5644"/>
    <w:rsid w:val="00AB58DD"/>
    <w:rsid w:val="00AB5B0D"/>
    <w:rsid w:val="00AB5FE9"/>
    <w:rsid w:val="00AB6283"/>
    <w:rsid w:val="00AB6383"/>
    <w:rsid w:val="00AB64A6"/>
    <w:rsid w:val="00AB70D2"/>
    <w:rsid w:val="00AC0143"/>
    <w:rsid w:val="00AC05B3"/>
    <w:rsid w:val="00AC0F82"/>
    <w:rsid w:val="00AC1602"/>
    <w:rsid w:val="00AC2C99"/>
    <w:rsid w:val="00AC3066"/>
    <w:rsid w:val="00AC39AF"/>
    <w:rsid w:val="00AC4566"/>
    <w:rsid w:val="00AC49A5"/>
    <w:rsid w:val="00AC4D3F"/>
    <w:rsid w:val="00AC55EE"/>
    <w:rsid w:val="00AC6FAE"/>
    <w:rsid w:val="00AC7255"/>
    <w:rsid w:val="00AD0013"/>
    <w:rsid w:val="00AD0793"/>
    <w:rsid w:val="00AD1279"/>
    <w:rsid w:val="00AD1CBA"/>
    <w:rsid w:val="00AD21B5"/>
    <w:rsid w:val="00AD2707"/>
    <w:rsid w:val="00AD4590"/>
    <w:rsid w:val="00AD4DD7"/>
    <w:rsid w:val="00AD5434"/>
    <w:rsid w:val="00AD584F"/>
    <w:rsid w:val="00AD6957"/>
    <w:rsid w:val="00AD724B"/>
    <w:rsid w:val="00AD7F10"/>
    <w:rsid w:val="00AE0281"/>
    <w:rsid w:val="00AE0E98"/>
    <w:rsid w:val="00AE1102"/>
    <w:rsid w:val="00AE191B"/>
    <w:rsid w:val="00AE34E7"/>
    <w:rsid w:val="00AE35E9"/>
    <w:rsid w:val="00AE36DB"/>
    <w:rsid w:val="00AE4003"/>
    <w:rsid w:val="00AE4536"/>
    <w:rsid w:val="00AE4626"/>
    <w:rsid w:val="00AE585A"/>
    <w:rsid w:val="00AE78D3"/>
    <w:rsid w:val="00AF0AA5"/>
    <w:rsid w:val="00AF0BD4"/>
    <w:rsid w:val="00AF1C7A"/>
    <w:rsid w:val="00AF1D50"/>
    <w:rsid w:val="00AF208B"/>
    <w:rsid w:val="00AF2315"/>
    <w:rsid w:val="00AF2BDD"/>
    <w:rsid w:val="00AF673C"/>
    <w:rsid w:val="00AF674D"/>
    <w:rsid w:val="00AF6B99"/>
    <w:rsid w:val="00AF6C31"/>
    <w:rsid w:val="00AF77BA"/>
    <w:rsid w:val="00AF7B4E"/>
    <w:rsid w:val="00AF7D86"/>
    <w:rsid w:val="00B001E1"/>
    <w:rsid w:val="00B016B3"/>
    <w:rsid w:val="00B01BD4"/>
    <w:rsid w:val="00B01F62"/>
    <w:rsid w:val="00B02121"/>
    <w:rsid w:val="00B03B2E"/>
    <w:rsid w:val="00B03EA4"/>
    <w:rsid w:val="00B0403A"/>
    <w:rsid w:val="00B04C1F"/>
    <w:rsid w:val="00B06722"/>
    <w:rsid w:val="00B06BA6"/>
    <w:rsid w:val="00B06BB3"/>
    <w:rsid w:val="00B07649"/>
    <w:rsid w:val="00B10751"/>
    <w:rsid w:val="00B10ADD"/>
    <w:rsid w:val="00B10BA7"/>
    <w:rsid w:val="00B113AD"/>
    <w:rsid w:val="00B12013"/>
    <w:rsid w:val="00B13253"/>
    <w:rsid w:val="00B133D0"/>
    <w:rsid w:val="00B1345E"/>
    <w:rsid w:val="00B136E8"/>
    <w:rsid w:val="00B13D83"/>
    <w:rsid w:val="00B1498C"/>
    <w:rsid w:val="00B14A3B"/>
    <w:rsid w:val="00B1738F"/>
    <w:rsid w:val="00B203B5"/>
    <w:rsid w:val="00B2073B"/>
    <w:rsid w:val="00B20EB6"/>
    <w:rsid w:val="00B20F56"/>
    <w:rsid w:val="00B212B6"/>
    <w:rsid w:val="00B21734"/>
    <w:rsid w:val="00B21FDF"/>
    <w:rsid w:val="00B23DED"/>
    <w:rsid w:val="00B26727"/>
    <w:rsid w:val="00B27E6C"/>
    <w:rsid w:val="00B30BA3"/>
    <w:rsid w:val="00B3150E"/>
    <w:rsid w:val="00B315F9"/>
    <w:rsid w:val="00B32628"/>
    <w:rsid w:val="00B334A4"/>
    <w:rsid w:val="00B33C01"/>
    <w:rsid w:val="00B34B3B"/>
    <w:rsid w:val="00B35689"/>
    <w:rsid w:val="00B35EE4"/>
    <w:rsid w:val="00B360E5"/>
    <w:rsid w:val="00B363A1"/>
    <w:rsid w:val="00B37AA9"/>
    <w:rsid w:val="00B4019C"/>
    <w:rsid w:val="00B40727"/>
    <w:rsid w:val="00B41331"/>
    <w:rsid w:val="00B426DE"/>
    <w:rsid w:val="00B4286A"/>
    <w:rsid w:val="00B42F94"/>
    <w:rsid w:val="00B43878"/>
    <w:rsid w:val="00B44083"/>
    <w:rsid w:val="00B44277"/>
    <w:rsid w:val="00B4550C"/>
    <w:rsid w:val="00B46096"/>
    <w:rsid w:val="00B4631E"/>
    <w:rsid w:val="00B463C4"/>
    <w:rsid w:val="00B46CAB"/>
    <w:rsid w:val="00B4760B"/>
    <w:rsid w:val="00B47D5A"/>
    <w:rsid w:val="00B47EBC"/>
    <w:rsid w:val="00B50036"/>
    <w:rsid w:val="00B5024D"/>
    <w:rsid w:val="00B50564"/>
    <w:rsid w:val="00B50E2E"/>
    <w:rsid w:val="00B510D5"/>
    <w:rsid w:val="00B514D4"/>
    <w:rsid w:val="00B51511"/>
    <w:rsid w:val="00B5163C"/>
    <w:rsid w:val="00B52378"/>
    <w:rsid w:val="00B5431C"/>
    <w:rsid w:val="00B546D4"/>
    <w:rsid w:val="00B54BFD"/>
    <w:rsid w:val="00B54E22"/>
    <w:rsid w:val="00B551D4"/>
    <w:rsid w:val="00B5591A"/>
    <w:rsid w:val="00B56389"/>
    <w:rsid w:val="00B61A3C"/>
    <w:rsid w:val="00B6206C"/>
    <w:rsid w:val="00B626CF"/>
    <w:rsid w:val="00B62A3A"/>
    <w:rsid w:val="00B630D5"/>
    <w:rsid w:val="00B6319B"/>
    <w:rsid w:val="00B632DB"/>
    <w:rsid w:val="00B63330"/>
    <w:rsid w:val="00B63431"/>
    <w:rsid w:val="00B63E23"/>
    <w:rsid w:val="00B63ECB"/>
    <w:rsid w:val="00B647BA"/>
    <w:rsid w:val="00B65A05"/>
    <w:rsid w:val="00B65EFA"/>
    <w:rsid w:val="00B66AAB"/>
    <w:rsid w:val="00B66F49"/>
    <w:rsid w:val="00B673C7"/>
    <w:rsid w:val="00B679BE"/>
    <w:rsid w:val="00B67BFB"/>
    <w:rsid w:val="00B701E1"/>
    <w:rsid w:val="00B70908"/>
    <w:rsid w:val="00B710C3"/>
    <w:rsid w:val="00B715A9"/>
    <w:rsid w:val="00B71803"/>
    <w:rsid w:val="00B7247D"/>
    <w:rsid w:val="00B7376A"/>
    <w:rsid w:val="00B73AE5"/>
    <w:rsid w:val="00B73FCC"/>
    <w:rsid w:val="00B7463F"/>
    <w:rsid w:val="00B74A85"/>
    <w:rsid w:val="00B75841"/>
    <w:rsid w:val="00B76472"/>
    <w:rsid w:val="00B766A6"/>
    <w:rsid w:val="00B76B32"/>
    <w:rsid w:val="00B77580"/>
    <w:rsid w:val="00B778EB"/>
    <w:rsid w:val="00B8004A"/>
    <w:rsid w:val="00B80BD2"/>
    <w:rsid w:val="00B80C94"/>
    <w:rsid w:val="00B80CBC"/>
    <w:rsid w:val="00B823EC"/>
    <w:rsid w:val="00B84059"/>
    <w:rsid w:val="00B85FAA"/>
    <w:rsid w:val="00B86216"/>
    <w:rsid w:val="00B86625"/>
    <w:rsid w:val="00B86E54"/>
    <w:rsid w:val="00B8710F"/>
    <w:rsid w:val="00B87742"/>
    <w:rsid w:val="00B90216"/>
    <w:rsid w:val="00B90518"/>
    <w:rsid w:val="00B90933"/>
    <w:rsid w:val="00B909CC"/>
    <w:rsid w:val="00B91207"/>
    <w:rsid w:val="00B92379"/>
    <w:rsid w:val="00B93051"/>
    <w:rsid w:val="00B931D7"/>
    <w:rsid w:val="00B942CD"/>
    <w:rsid w:val="00B94A62"/>
    <w:rsid w:val="00B94DA7"/>
    <w:rsid w:val="00B953AD"/>
    <w:rsid w:val="00B95FF7"/>
    <w:rsid w:val="00B96A50"/>
    <w:rsid w:val="00B97200"/>
    <w:rsid w:val="00B972E9"/>
    <w:rsid w:val="00BA0085"/>
    <w:rsid w:val="00BA0395"/>
    <w:rsid w:val="00BA13C1"/>
    <w:rsid w:val="00BA1830"/>
    <w:rsid w:val="00BA1D3A"/>
    <w:rsid w:val="00BA2B8E"/>
    <w:rsid w:val="00BA2C09"/>
    <w:rsid w:val="00BA329B"/>
    <w:rsid w:val="00BA3350"/>
    <w:rsid w:val="00BA3ECE"/>
    <w:rsid w:val="00BA49FF"/>
    <w:rsid w:val="00BA5650"/>
    <w:rsid w:val="00BA6918"/>
    <w:rsid w:val="00BA69B0"/>
    <w:rsid w:val="00BA704B"/>
    <w:rsid w:val="00BA7567"/>
    <w:rsid w:val="00BB088F"/>
    <w:rsid w:val="00BB0C9B"/>
    <w:rsid w:val="00BB0E2E"/>
    <w:rsid w:val="00BB1004"/>
    <w:rsid w:val="00BB23F1"/>
    <w:rsid w:val="00BB25A4"/>
    <w:rsid w:val="00BB3140"/>
    <w:rsid w:val="00BB39D2"/>
    <w:rsid w:val="00BB3A56"/>
    <w:rsid w:val="00BB3BA2"/>
    <w:rsid w:val="00BB4457"/>
    <w:rsid w:val="00BB4D5E"/>
    <w:rsid w:val="00BB55EF"/>
    <w:rsid w:val="00BB5B21"/>
    <w:rsid w:val="00BB5F4B"/>
    <w:rsid w:val="00BB7924"/>
    <w:rsid w:val="00BC040D"/>
    <w:rsid w:val="00BC0669"/>
    <w:rsid w:val="00BC06E8"/>
    <w:rsid w:val="00BC0C34"/>
    <w:rsid w:val="00BC0EAD"/>
    <w:rsid w:val="00BC11B2"/>
    <w:rsid w:val="00BC1490"/>
    <w:rsid w:val="00BC18A4"/>
    <w:rsid w:val="00BC234F"/>
    <w:rsid w:val="00BC2C63"/>
    <w:rsid w:val="00BC2E5F"/>
    <w:rsid w:val="00BC3B5B"/>
    <w:rsid w:val="00BC3E00"/>
    <w:rsid w:val="00BC4037"/>
    <w:rsid w:val="00BC4295"/>
    <w:rsid w:val="00BC4697"/>
    <w:rsid w:val="00BC4963"/>
    <w:rsid w:val="00BC4CBB"/>
    <w:rsid w:val="00BC4E0C"/>
    <w:rsid w:val="00BC5087"/>
    <w:rsid w:val="00BC5352"/>
    <w:rsid w:val="00BC5E24"/>
    <w:rsid w:val="00BC6462"/>
    <w:rsid w:val="00BC6521"/>
    <w:rsid w:val="00BC7239"/>
    <w:rsid w:val="00BC726C"/>
    <w:rsid w:val="00BC7B14"/>
    <w:rsid w:val="00BD00CF"/>
    <w:rsid w:val="00BD0266"/>
    <w:rsid w:val="00BD0828"/>
    <w:rsid w:val="00BD0D55"/>
    <w:rsid w:val="00BD1814"/>
    <w:rsid w:val="00BD244C"/>
    <w:rsid w:val="00BD2581"/>
    <w:rsid w:val="00BD36EC"/>
    <w:rsid w:val="00BD383E"/>
    <w:rsid w:val="00BD4786"/>
    <w:rsid w:val="00BD564B"/>
    <w:rsid w:val="00BD5789"/>
    <w:rsid w:val="00BD6440"/>
    <w:rsid w:val="00BD7D18"/>
    <w:rsid w:val="00BE1334"/>
    <w:rsid w:val="00BE2AAE"/>
    <w:rsid w:val="00BE3158"/>
    <w:rsid w:val="00BE35B6"/>
    <w:rsid w:val="00BE3834"/>
    <w:rsid w:val="00BE3983"/>
    <w:rsid w:val="00BE3C33"/>
    <w:rsid w:val="00BE3CD3"/>
    <w:rsid w:val="00BE4003"/>
    <w:rsid w:val="00BE477E"/>
    <w:rsid w:val="00BE4A0F"/>
    <w:rsid w:val="00BE4D93"/>
    <w:rsid w:val="00BE4DFB"/>
    <w:rsid w:val="00BE51B3"/>
    <w:rsid w:val="00BE6C11"/>
    <w:rsid w:val="00BE6E29"/>
    <w:rsid w:val="00BF0CA3"/>
    <w:rsid w:val="00BF102D"/>
    <w:rsid w:val="00BF1760"/>
    <w:rsid w:val="00BF2071"/>
    <w:rsid w:val="00BF3248"/>
    <w:rsid w:val="00BF40D4"/>
    <w:rsid w:val="00BF468F"/>
    <w:rsid w:val="00BF49B0"/>
    <w:rsid w:val="00BF5337"/>
    <w:rsid w:val="00BF5938"/>
    <w:rsid w:val="00BF65DB"/>
    <w:rsid w:val="00BF692E"/>
    <w:rsid w:val="00BF6D51"/>
    <w:rsid w:val="00BF7845"/>
    <w:rsid w:val="00C0049E"/>
    <w:rsid w:val="00C0171F"/>
    <w:rsid w:val="00C01BAA"/>
    <w:rsid w:val="00C0273C"/>
    <w:rsid w:val="00C034C1"/>
    <w:rsid w:val="00C037C7"/>
    <w:rsid w:val="00C03BF2"/>
    <w:rsid w:val="00C03EC0"/>
    <w:rsid w:val="00C040C5"/>
    <w:rsid w:val="00C046A3"/>
    <w:rsid w:val="00C0749B"/>
    <w:rsid w:val="00C07E64"/>
    <w:rsid w:val="00C10179"/>
    <w:rsid w:val="00C10827"/>
    <w:rsid w:val="00C11073"/>
    <w:rsid w:val="00C110C7"/>
    <w:rsid w:val="00C117CF"/>
    <w:rsid w:val="00C11853"/>
    <w:rsid w:val="00C11CA5"/>
    <w:rsid w:val="00C12C2B"/>
    <w:rsid w:val="00C12E26"/>
    <w:rsid w:val="00C13437"/>
    <w:rsid w:val="00C13EEF"/>
    <w:rsid w:val="00C14949"/>
    <w:rsid w:val="00C153EF"/>
    <w:rsid w:val="00C16239"/>
    <w:rsid w:val="00C16727"/>
    <w:rsid w:val="00C16819"/>
    <w:rsid w:val="00C16D54"/>
    <w:rsid w:val="00C1741E"/>
    <w:rsid w:val="00C17FAB"/>
    <w:rsid w:val="00C20FAD"/>
    <w:rsid w:val="00C22047"/>
    <w:rsid w:val="00C22095"/>
    <w:rsid w:val="00C226D9"/>
    <w:rsid w:val="00C2277B"/>
    <w:rsid w:val="00C23D57"/>
    <w:rsid w:val="00C24AFD"/>
    <w:rsid w:val="00C24D9D"/>
    <w:rsid w:val="00C24F6B"/>
    <w:rsid w:val="00C2573F"/>
    <w:rsid w:val="00C26348"/>
    <w:rsid w:val="00C26683"/>
    <w:rsid w:val="00C26F6A"/>
    <w:rsid w:val="00C26F9A"/>
    <w:rsid w:val="00C2744A"/>
    <w:rsid w:val="00C2785C"/>
    <w:rsid w:val="00C300BE"/>
    <w:rsid w:val="00C31043"/>
    <w:rsid w:val="00C311CE"/>
    <w:rsid w:val="00C31240"/>
    <w:rsid w:val="00C314C9"/>
    <w:rsid w:val="00C31965"/>
    <w:rsid w:val="00C32154"/>
    <w:rsid w:val="00C329AF"/>
    <w:rsid w:val="00C32EAF"/>
    <w:rsid w:val="00C330D7"/>
    <w:rsid w:val="00C33EED"/>
    <w:rsid w:val="00C34996"/>
    <w:rsid w:val="00C350C8"/>
    <w:rsid w:val="00C363D2"/>
    <w:rsid w:val="00C36791"/>
    <w:rsid w:val="00C36916"/>
    <w:rsid w:val="00C36993"/>
    <w:rsid w:val="00C36EDB"/>
    <w:rsid w:val="00C37148"/>
    <w:rsid w:val="00C372A9"/>
    <w:rsid w:val="00C37C61"/>
    <w:rsid w:val="00C4069A"/>
    <w:rsid w:val="00C408D0"/>
    <w:rsid w:val="00C40DA2"/>
    <w:rsid w:val="00C41013"/>
    <w:rsid w:val="00C414AC"/>
    <w:rsid w:val="00C41B43"/>
    <w:rsid w:val="00C41B92"/>
    <w:rsid w:val="00C41EA1"/>
    <w:rsid w:val="00C421EE"/>
    <w:rsid w:val="00C42B1C"/>
    <w:rsid w:val="00C43A18"/>
    <w:rsid w:val="00C43A40"/>
    <w:rsid w:val="00C43B87"/>
    <w:rsid w:val="00C45522"/>
    <w:rsid w:val="00C455D1"/>
    <w:rsid w:val="00C46D7D"/>
    <w:rsid w:val="00C470ED"/>
    <w:rsid w:val="00C47611"/>
    <w:rsid w:val="00C4791E"/>
    <w:rsid w:val="00C50150"/>
    <w:rsid w:val="00C5046B"/>
    <w:rsid w:val="00C50D1F"/>
    <w:rsid w:val="00C51434"/>
    <w:rsid w:val="00C51744"/>
    <w:rsid w:val="00C528F5"/>
    <w:rsid w:val="00C52DAA"/>
    <w:rsid w:val="00C5301C"/>
    <w:rsid w:val="00C531AB"/>
    <w:rsid w:val="00C53CCE"/>
    <w:rsid w:val="00C53DB9"/>
    <w:rsid w:val="00C5411D"/>
    <w:rsid w:val="00C54245"/>
    <w:rsid w:val="00C54611"/>
    <w:rsid w:val="00C54BE9"/>
    <w:rsid w:val="00C54F63"/>
    <w:rsid w:val="00C55AA4"/>
    <w:rsid w:val="00C56439"/>
    <w:rsid w:val="00C568CF"/>
    <w:rsid w:val="00C56B96"/>
    <w:rsid w:val="00C570A9"/>
    <w:rsid w:val="00C57220"/>
    <w:rsid w:val="00C57973"/>
    <w:rsid w:val="00C579B8"/>
    <w:rsid w:val="00C60F6E"/>
    <w:rsid w:val="00C6109E"/>
    <w:rsid w:val="00C6111F"/>
    <w:rsid w:val="00C612A0"/>
    <w:rsid w:val="00C61CF4"/>
    <w:rsid w:val="00C61FE0"/>
    <w:rsid w:val="00C629DD"/>
    <w:rsid w:val="00C62D8D"/>
    <w:rsid w:val="00C62F1D"/>
    <w:rsid w:val="00C63E9A"/>
    <w:rsid w:val="00C63EE8"/>
    <w:rsid w:val="00C6464C"/>
    <w:rsid w:val="00C64C06"/>
    <w:rsid w:val="00C65DCD"/>
    <w:rsid w:val="00C70A65"/>
    <w:rsid w:val="00C716E5"/>
    <w:rsid w:val="00C719F7"/>
    <w:rsid w:val="00C720DE"/>
    <w:rsid w:val="00C739F1"/>
    <w:rsid w:val="00C741B3"/>
    <w:rsid w:val="00C74B7D"/>
    <w:rsid w:val="00C75282"/>
    <w:rsid w:val="00C77003"/>
    <w:rsid w:val="00C77C61"/>
    <w:rsid w:val="00C803D2"/>
    <w:rsid w:val="00C80D77"/>
    <w:rsid w:val="00C81299"/>
    <w:rsid w:val="00C81588"/>
    <w:rsid w:val="00C81ADE"/>
    <w:rsid w:val="00C81D96"/>
    <w:rsid w:val="00C81F70"/>
    <w:rsid w:val="00C821F6"/>
    <w:rsid w:val="00C822B4"/>
    <w:rsid w:val="00C82917"/>
    <w:rsid w:val="00C82A8E"/>
    <w:rsid w:val="00C82BF2"/>
    <w:rsid w:val="00C82EE7"/>
    <w:rsid w:val="00C8450E"/>
    <w:rsid w:val="00C84DD4"/>
    <w:rsid w:val="00C85BE5"/>
    <w:rsid w:val="00C85FBE"/>
    <w:rsid w:val="00C86BCD"/>
    <w:rsid w:val="00C8714E"/>
    <w:rsid w:val="00C87D24"/>
    <w:rsid w:val="00C87E8C"/>
    <w:rsid w:val="00C87EC7"/>
    <w:rsid w:val="00C90145"/>
    <w:rsid w:val="00C91B61"/>
    <w:rsid w:val="00C91FE8"/>
    <w:rsid w:val="00C92A73"/>
    <w:rsid w:val="00C92A89"/>
    <w:rsid w:val="00C92B86"/>
    <w:rsid w:val="00C92C18"/>
    <w:rsid w:val="00C93780"/>
    <w:rsid w:val="00C94603"/>
    <w:rsid w:val="00C946E1"/>
    <w:rsid w:val="00C95187"/>
    <w:rsid w:val="00C95A74"/>
    <w:rsid w:val="00C96116"/>
    <w:rsid w:val="00C9629D"/>
    <w:rsid w:val="00C96534"/>
    <w:rsid w:val="00C96635"/>
    <w:rsid w:val="00C97F41"/>
    <w:rsid w:val="00CA056E"/>
    <w:rsid w:val="00CA0B5E"/>
    <w:rsid w:val="00CA1B76"/>
    <w:rsid w:val="00CA1E1F"/>
    <w:rsid w:val="00CA20BD"/>
    <w:rsid w:val="00CA2593"/>
    <w:rsid w:val="00CA2DA0"/>
    <w:rsid w:val="00CA2FAA"/>
    <w:rsid w:val="00CA3B14"/>
    <w:rsid w:val="00CA3D46"/>
    <w:rsid w:val="00CA441D"/>
    <w:rsid w:val="00CA4C75"/>
    <w:rsid w:val="00CA50E5"/>
    <w:rsid w:val="00CA54C4"/>
    <w:rsid w:val="00CA65A9"/>
    <w:rsid w:val="00CA65E4"/>
    <w:rsid w:val="00CA67F9"/>
    <w:rsid w:val="00CA7367"/>
    <w:rsid w:val="00CA7E51"/>
    <w:rsid w:val="00CB0792"/>
    <w:rsid w:val="00CB24A7"/>
    <w:rsid w:val="00CB2981"/>
    <w:rsid w:val="00CB3184"/>
    <w:rsid w:val="00CB3829"/>
    <w:rsid w:val="00CB4D00"/>
    <w:rsid w:val="00CB4FA2"/>
    <w:rsid w:val="00CB592B"/>
    <w:rsid w:val="00CB5BBA"/>
    <w:rsid w:val="00CB5F28"/>
    <w:rsid w:val="00CB6A07"/>
    <w:rsid w:val="00CB6A54"/>
    <w:rsid w:val="00CC1075"/>
    <w:rsid w:val="00CC11ED"/>
    <w:rsid w:val="00CC18D2"/>
    <w:rsid w:val="00CC1927"/>
    <w:rsid w:val="00CC197E"/>
    <w:rsid w:val="00CC2051"/>
    <w:rsid w:val="00CC22C4"/>
    <w:rsid w:val="00CC2E32"/>
    <w:rsid w:val="00CC41AB"/>
    <w:rsid w:val="00CC41C6"/>
    <w:rsid w:val="00CC4806"/>
    <w:rsid w:val="00CC4B16"/>
    <w:rsid w:val="00CC586B"/>
    <w:rsid w:val="00CC5A73"/>
    <w:rsid w:val="00CC5B26"/>
    <w:rsid w:val="00CC6170"/>
    <w:rsid w:val="00CC624B"/>
    <w:rsid w:val="00CC648B"/>
    <w:rsid w:val="00CC6673"/>
    <w:rsid w:val="00CC6FBE"/>
    <w:rsid w:val="00CC7240"/>
    <w:rsid w:val="00CD01AF"/>
    <w:rsid w:val="00CD0543"/>
    <w:rsid w:val="00CD17A1"/>
    <w:rsid w:val="00CD19BA"/>
    <w:rsid w:val="00CD214B"/>
    <w:rsid w:val="00CD2324"/>
    <w:rsid w:val="00CD2797"/>
    <w:rsid w:val="00CD31CA"/>
    <w:rsid w:val="00CD35E3"/>
    <w:rsid w:val="00CD394F"/>
    <w:rsid w:val="00CD3F2A"/>
    <w:rsid w:val="00CD52D2"/>
    <w:rsid w:val="00CD562B"/>
    <w:rsid w:val="00CD6C8B"/>
    <w:rsid w:val="00CD71B7"/>
    <w:rsid w:val="00CD71C3"/>
    <w:rsid w:val="00CD772E"/>
    <w:rsid w:val="00CE0F03"/>
    <w:rsid w:val="00CE1834"/>
    <w:rsid w:val="00CE1DE5"/>
    <w:rsid w:val="00CE2458"/>
    <w:rsid w:val="00CE25B3"/>
    <w:rsid w:val="00CE3252"/>
    <w:rsid w:val="00CE32BA"/>
    <w:rsid w:val="00CE370C"/>
    <w:rsid w:val="00CE3786"/>
    <w:rsid w:val="00CE38E2"/>
    <w:rsid w:val="00CE4B29"/>
    <w:rsid w:val="00CE56E7"/>
    <w:rsid w:val="00CE5874"/>
    <w:rsid w:val="00CE5EA6"/>
    <w:rsid w:val="00CE6362"/>
    <w:rsid w:val="00CF16E2"/>
    <w:rsid w:val="00CF26C0"/>
    <w:rsid w:val="00CF2BB4"/>
    <w:rsid w:val="00CF2EBD"/>
    <w:rsid w:val="00CF3462"/>
    <w:rsid w:val="00CF38B8"/>
    <w:rsid w:val="00CF39FE"/>
    <w:rsid w:val="00CF50E9"/>
    <w:rsid w:val="00CF5401"/>
    <w:rsid w:val="00CF57C3"/>
    <w:rsid w:val="00CF5E07"/>
    <w:rsid w:val="00CF5EEA"/>
    <w:rsid w:val="00CF64B7"/>
    <w:rsid w:val="00CF6C73"/>
    <w:rsid w:val="00CF6E4D"/>
    <w:rsid w:val="00CF6F21"/>
    <w:rsid w:val="00CF737C"/>
    <w:rsid w:val="00CF75E9"/>
    <w:rsid w:val="00CF75F7"/>
    <w:rsid w:val="00CF7F08"/>
    <w:rsid w:val="00D002AB"/>
    <w:rsid w:val="00D004A9"/>
    <w:rsid w:val="00D00D1F"/>
    <w:rsid w:val="00D0123B"/>
    <w:rsid w:val="00D01D26"/>
    <w:rsid w:val="00D02368"/>
    <w:rsid w:val="00D02EA9"/>
    <w:rsid w:val="00D0314E"/>
    <w:rsid w:val="00D035CC"/>
    <w:rsid w:val="00D03609"/>
    <w:rsid w:val="00D0391B"/>
    <w:rsid w:val="00D0424C"/>
    <w:rsid w:val="00D04A43"/>
    <w:rsid w:val="00D06036"/>
    <w:rsid w:val="00D103D7"/>
    <w:rsid w:val="00D107A5"/>
    <w:rsid w:val="00D116FF"/>
    <w:rsid w:val="00D11E4E"/>
    <w:rsid w:val="00D12DDD"/>
    <w:rsid w:val="00D16218"/>
    <w:rsid w:val="00D1624E"/>
    <w:rsid w:val="00D16E81"/>
    <w:rsid w:val="00D17610"/>
    <w:rsid w:val="00D17FD2"/>
    <w:rsid w:val="00D2071A"/>
    <w:rsid w:val="00D210B2"/>
    <w:rsid w:val="00D22A16"/>
    <w:rsid w:val="00D22EE8"/>
    <w:rsid w:val="00D2389A"/>
    <w:rsid w:val="00D25885"/>
    <w:rsid w:val="00D25CC9"/>
    <w:rsid w:val="00D268D0"/>
    <w:rsid w:val="00D26916"/>
    <w:rsid w:val="00D26969"/>
    <w:rsid w:val="00D269DA"/>
    <w:rsid w:val="00D26CF1"/>
    <w:rsid w:val="00D26CF9"/>
    <w:rsid w:val="00D271D3"/>
    <w:rsid w:val="00D27254"/>
    <w:rsid w:val="00D3022E"/>
    <w:rsid w:val="00D3096F"/>
    <w:rsid w:val="00D30A07"/>
    <w:rsid w:val="00D310D8"/>
    <w:rsid w:val="00D324DB"/>
    <w:rsid w:val="00D328BC"/>
    <w:rsid w:val="00D32B4E"/>
    <w:rsid w:val="00D33466"/>
    <w:rsid w:val="00D33667"/>
    <w:rsid w:val="00D33D61"/>
    <w:rsid w:val="00D34384"/>
    <w:rsid w:val="00D3440D"/>
    <w:rsid w:val="00D349EA"/>
    <w:rsid w:val="00D34EC9"/>
    <w:rsid w:val="00D358FA"/>
    <w:rsid w:val="00D35934"/>
    <w:rsid w:val="00D359D2"/>
    <w:rsid w:val="00D36A88"/>
    <w:rsid w:val="00D36D07"/>
    <w:rsid w:val="00D37596"/>
    <w:rsid w:val="00D37E86"/>
    <w:rsid w:val="00D410D5"/>
    <w:rsid w:val="00D41193"/>
    <w:rsid w:val="00D41828"/>
    <w:rsid w:val="00D41B0E"/>
    <w:rsid w:val="00D41B95"/>
    <w:rsid w:val="00D41C81"/>
    <w:rsid w:val="00D41E05"/>
    <w:rsid w:val="00D424CB"/>
    <w:rsid w:val="00D4304F"/>
    <w:rsid w:val="00D43BC5"/>
    <w:rsid w:val="00D4517F"/>
    <w:rsid w:val="00D46089"/>
    <w:rsid w:val="00D467F5"/>
    <w:rsid w:val="00D470F5"/>
    <w:rsid w:val="00D4751B"/>
    <w:rsid w:val="00D478CF"/>
    <w:rsid w:val="00D47DF2"/>
    <w:rsid w:val="00D505BF"/>
    <w:rsid w:val="00D50670"/>
    <w:rsid w:val="00D51AC3"/>
    <w:rsid w:val="00D520FE"/>
    <w:rsid w:val="00D52374"/>
    <w:rsid w:val="00D523E9"/>
    <w:rsid w:val="00D52A6D"/>
    <w:rsid w:val="00D52C44"/>
    <w:rsid w:val="00D52ED6"/>
    <w:rsid w:val="00D52FB8"/>
    <w:rsid w:val="00D53102"/>
    <w:rsid w:val="00D53744"/>
    <w:rsid w:val="00D539B0"/>
    <w:rsid w:val="00D539DE"/>
    <w:rsid w:val="00D5475E"/>
    <w:rsid w:val="00D54D63"/>
    <w:rsid w:val="00D563D7"/>
    <w:rsid w:val="00D5681F"/>
    <w:rsid w:val="00D606D6"/>
    <w:rsid w:val="00D607B1"/>
    <w:rsid w:val="00D617A8"/>
    <w:rsid w:val="00D61C02"/>
    <w:rsid w:val="00D61DA5"/>
    <w:rsid w:val="00D626AE"/>
    <w:rsid w:val="00D6302E"/>
    <w:rsid w:val="00D64480"/>
    <w:rsid w:val="00D64599"/>
    <w:rsid w:val="00D6492C"/>
    <w:rsid w:val="00D652FA"/>
    <w:rsid w:val="00D654FD"/>
    <w:rsid w:val="00D66406"/>
    <w:rsid w:val="00D66CBA"/>
    <w:rsid w:val="00D66ED3"/>
    <w:rsid w:val="00D70388"/>
    <w:rsid w:val="00D7043A"/>
    <w:rsid w:val="00D7097C"/>
    <w:rsid w:val="00D70E85"/>
    <w:rsid w:val="00D718A7"/>
    <w:rsid w:val="00D721E3"/>
    <w:rsid w:val="00D7278B"/>
    <w:rsid w:val="00D72992"/>
    <w:rsid w:val="00D73100"/>
    <w:rsid w:val="00D737A4"/>
    <w:rsid w:val="00D73C48"/>
    <w:rsid w:val="00D73EB3"/>
    <w:rsid w:val="00D74391"/>
    <w:rsid w:val="00D74B43"/>
    <w:rsid w:val="00D74CFC"/>
    <w:rsid w:val="00D7501C"/>
    <w:rsid w:val="00D757AE"/>
    <w:rsid w:val="00D75B68"/>
    <w:rsid w:val="00D75E6F"/>
    <w:rsid w:val="00D760E0"/>
    <w:rsid w:val="00D7613E"/>
    <w:rsid w:val="00D764C6"/>
    <w:rsid w:val="00D766DB"/>
    <w:rsid w:val="00D76A70"/>
    <w:rsid w:val="00D77481"/>
    <w:rsid w:val="00D77CF1"/>
    <w:rsid w:val="00D800A7"/>
    <w:rsid w:val="00D80C3E"/>
    <w:rsid w:val="00D80DF3"/>
    <w:rsid w:val="00D81157"/>
    <w:rsid w:val="00D816B9"/>
    <w:rsid w:val="00D81B08"/>
    <w:rsid w:val="00D81B10"/>
    <w:rsid w:val="00D8213A"/>
    <w:rsid w:val="00D824F2"/>
    <w:rsid w:val="00D82867"/>
    <w:rsid w:val="00D829CD"/>
    <w:rsid w:val="00D83848"/>
    <w:rsid w:val="00D843F7"/>
    <w:rsid w:val="00D84450"/>
    <w:rsid w:val="00D84597"/>
    <w:rsid w:val="00D84A59"/>
    <w:rsid w:val="00D84F9E"/>
    <w:rsid w:val="00D850DC"/>
    <w:rsid w:val="00D86238"/>
    <w:rsid w:val="00D866A3"/>
    <w:rsid w:val="00D86E84"/>
    <w:rsid w:val="00D86EF3"/>
    <w:rsid w:val="00D872D3"/>
    <w:rsid w:val="00D87731"/>
    <w:rsid w:val="00D877AB"/>
    <w:rsid w:val="00D8791F"/>
    <w:rsid w:val="00D87FAA"/>
    <w:rsid w:val="00D87FD6"/>
    <w:rsid w:val="00D901EE"/>
    <w:rsid w:val="00D9078D"/>
    <w:rsid w:val="00D9083E"/>
    <w:rsid w:val="00D91C2B"/>
    <w:rsid w:val="00D9300A"/>
    <w:rsid w:val="00D950D2"/>
    <w:rsid w:val="00D96393"/>
    <w:rsid w:val="00D96FB9"/>
    <w:rsid w:val="00D97C68"/>
    <w:rsid w:val="00D97FE7"/>
    <w:rsid w:val="00DA0325"/>
    <w:rsid w:val="00DA0B64"/>
    <w:rsid w:val="00DA0DE8"/>
    <w:rsid w:val="00DA0FAD"/>
    <w:rsid w:val="00DA19B9"/>
    <w:rsid w:val="00DA1DFF"/>
    <w:rsid w:val="00DA1FE4"/>
    <w:rsid w:val="00DA2057"/>
    <w:rsid w:val="00DA3142"/>
    <w:rsid w:val="00DA3261"/>
    <w:rsid w:val="00DA3742"/>
    <w:rsid w:val="00DA4779"/>
    <w:rsid w:val="00DA53B1"/>
    <w:rsid w:val="00DA59AF"/>
    <w:rsid w:val="00DA59EA"/>
    <w:rsid w:val="00DA5B58"/>
    <w:rsid w:val="00DA6DBE"/>
    <w:rsid w:val="00DA702A"/>
    <w:rsid w:val="00DA7AE1"/>
    <w:rsid w:val="00DA7C2B"/>
    <w:rsid w:val="00DA7FFA"/>
    <w:rsid w:val="00DB02CE"/>
    <w:rsid w:val="00DB0B69"/>
    <w:rsid w:val="00DB1102"/>
    <w:rsid w:val="00DB1E4D"/>
    <w:rsid w:val="00DB28B2"/>
    <w:rsid w:val="00DB2BEA"/>
    <w:rsid w:val="00DB36A5"/>
    <w:rsid w:val="00DB36BA"/>
    <w:rsid w:val="00DB3A8E"/>
    <w:rsid w:val="00DB3FA0"/>
    <w:rsid w:val="00DB4083"/>
    <w:rsid w:val="00DB49A2"/>
    <w:rsid w:val="00DB5166"/>
    <w:rsid w:val="00DB6CE0"/>
    <w:rsid w:val="00DB7149"/>
    <w:rsid w:val="00DB7FA3"/>
    <w:rsid w:val="00DB7FAB"/>
    <w:rsid w:val="00DC04A8"/>
    <w:rsid w:val="00DC04DA"/>
    <w:rsid w:val="00DC1363"/>
    <w:rsid w:val="00DC18F0"/>
    <w:rsid w:val="00DC1BA2"/>
    <w:rsid w:val="00DC1DA4"/>
    <w:rsid w:val="00DC2E10"/>
    <w:rsid w:val="00DC366C"/>
    <w:rsid w:val="00DC4052"/>
    <w:rsid w:val="00DC64AE"/>
    <w:rsid w:val="00DC715F"/>
    <w:rsid w:val="00DC7EC9"/>
    <w:rsid w:val="00DD0391"/>
    <w:rsid w:val="00DD0413"/>
    <w:rsid w:val="00DD0896"/>
    <w:rsid w:val="00DD0F0D"/>
    <w:rsid w:val="00DD261F"/>
    <w:rsid w:val="00DD2B85"/>
    <w:rsid w:val="00DD321D"/>
    <w:rsid w:val="00DD3291"/>
    <w:rsid w:val="00DD49FE"/>
    <w:rsid w:val="00DD4E7E"/>
    <w:rsid w:val="00DD528F"/>
    <w:rsid w:val="00DD59E8"/>
    <w:rsid w:val="00DD6135"/>
    <w:rsid w:val="00DD6641"/>
    <w:rsid w:val="00DD6770"/>
    <w:rsid w:val="00DD7F90"/>
    <w:rsid w:val="00DD7F9F"/>
    <w:rsid w:val="00DE006E"/>
    <w:rsid w:val="00DE052B"/>
    <w:rsid w:val="00DE10F4"/>
    <w:rsid w:val="00DE1116"/>
    <w:rsid w:val="00DE13D3"/>
    <w:rsid w:val="00DE18B8"/>
    <w:rsid w:val="00DE1C9C"/>
    <w:rsid w:val="00DE24D5"/>
    <w:rsid w:val="00DE265D"/>
    <w:rsid w:val="00DE2C30"/>
    <w:rsid w:val="00DE2D43"/>
    <w:rsid w:val="00DE2DC4"/>
    <w:rsid w:val="00DE4ACD"/>
    <w:rsid w:val="00DE51E0"/>
    <w:rsid w:val="00DE69FD"/>
    <w:rsid w:val="00DE6F9F"/>
    <w:rsid w:val="00DF09AE"/>
    <w:rsid w:val="00DF2CDE"/>
    <w:rsid w:val="00DF2E84"/>
    <w:rsid w:val="00DF40CD"/>
    <w:rsid w:val="00DF4937"/>
    <w:rsid w:val="00DF4D8A"/>
    <w:rsid w:val="00DF6057"/>
    <w:rsid w:val="00DF6924"/>
    <w:rsid w:val="00DF74ED"/>
    <w:rsid w:val="00DF7824"/>
    <w:rsid w:val="00DF7E2E"/>
    <w:rsid w:val="00E00D97"/>
    <w:rsid w:val="00E01215"/>
    <w:rsid w:val="00E016B3"/>
    <w:rsid w:val="00E02F83"/>
    <w:rsid w:val="00E0368A"/>
    <w:rsid w:val="00E045FD"/>
    <w:rsid w:val="00E05443"/>
    <w:rsid w:val="00E05FF5"/>
    <w:rsid w:val="00E06379"/>
    <w:rsid w:val="00E06544"/>
    <w:rsid w:val="00E0687C"/>
    <w:rsid w:val="00E06A0A"/>
    <w:rsid w:val="00E06C02"/>
    <w:rsid w:val="00E06E92"/>
    <w:rsid w:val="00E06ED0"/>
    <w:rsid w:val="00E072B1"/>
    <w:rsid w:val="00E076F1"/>
    <w:rsid w:val="00E07E46"/>
    <w:rsid w:val="00E10D79"/>
    <w:rsid w:val="00E10F87"/>
    <w:rsid w:val="00E11157"/>
    <w:rsid w:val="00E11194"/>
    <w:rsid w:val="00E11A9D"/>
    <w:rsid w:val="00E12231"/>
    <w:rsid w:val="00E12E9B"/>
    <w:rsid w:val="00E12F48"/>
    <w:rsid w:val="00E13841"/>
    <w:rsid w:val="00E13BA6"/>
    <w:rsid w:val="00E14322"/>
    <w:rsid w:val="00E14F30"/>
    <w:rsid w:val="00E14F49"/>
    <w:rsid w:val="00E151C2"/>
    <w:rsid w:val="00E157F1"/>
    <w:rsid w:val="00E15DA8"/>
    <w:rsid w:val="00E16A27"/>
    <w:rsid w:val="00E17679"/>
    <w:rsid w:val="00E1778C"/>
    <w:rsid w:val="00E179F4"/>
    <w:rsid w:val="00E20D1D"/>
    <w:rsid w:val="00E20D7D"/>
    <w:rsid w:val="00E21B69"/>
    <w:rsid w:val="00E230B6"/>
    <w:rsid w:val="00E235F2"/>
    <w:rsid w:val="00E25014"/>
    <w:rsid w:val="00E251F0"/>
    <w:rsid w:val="00E25AA1"/>
    <w:rsid w:val="00E269BC"/>
    <w:rsid w:val="00E27BB1"/>
    <w:rsid w:val="00E30193"/>
    <w:rsid w:val="00E301F1"/>
    <w:rsid w:val="00E30491"/>
    <w:rsid w:val="00E304B8"/>
    <w:rsid w:val="00E30CB0"/>
    <w:rsid w:val="00E32120"/>
    <w:rsid w:val="00E32162"/>
    <w:rsid w:val="00E34E87"/>
    <w:rsid w:val="00E35CD8"/>
    <w:rsid w:val="00E368A9"/>
    <w:rsid w:val="00E37D74"/>
    <w:rsid w:val="00E401BA"/>
    <w:rsid w:val="00E40665"/>
    <w:rsid w:val="00E40986"/>
    <w:rsid w:val="00E412DA"/>
    <w:rsid w:val="00E41AFE"/>
    <w:rsid w:val="00E42CDD"/>
    <w:rsid w:val="00E434A3"/>
    <w:rsid w:val="00E4446E"/>
    <w:rsid w:val="00E44905"/>
    <w:rsid w:val="00E45183"/>
    <w:rsid w:val="00E4548C"/>
    <w:rsid w:val="00E454C5"/>
    <w:rsid w:val="00E455C1"/>
    <w:rsid w:val="00E45909"/>
    <w:rsid w:val="00E46684"/>
    <w:rsid w:val="00E46F0C"/>
    <w:rsid w:val="00E47553"/>
    <w:rsid w:val="00E47A65"/>
    <w:rsid w:val="00E5040A"/>
    <w:rsid w:val="00E5064D"/>
    <w:rsid w:val="00E5083C"/>
    <w:rsid w:val="00E50C28"/>
    <w:rsid w:val="00E50F60"/>
    <w:rsid w:val="00E51584"/>
    <w:rsid w:val="00E51913"/>
    <w:rsid w:val="00E520C8"/>
    <w:rsid w:val="00E526F7"/>
    <w:rsid w:val="00E5282A"/>
    <w:rsid w:val="00E52D36"/>
    <w:rsid w:val="00E52F70"/>
    <w:rsid w:val="00E53582"/>
    <w:rsid w:val="00E53800"/>
    <w:rsid w:val="00E5395A"/>
    <w:rsid w:val="00E539C1"/>
    <w:rsid w:val="00E53EE9"/>
    <w:rsid w:val="00E5427A"/>
    <w:rsid w:val="00E54A07"/>
    <w:rsid w:val="00E55292"/>
    <w:rsid w:val="00E55758"/>
    <w:rsid w:val="00E55B10"/>
    <w:rsid w:val="00E55D26"/>
    <w:rsid w:val="00E56342"/>
    <w:rsid w:val="00E56FDD"/>
    <w:rsid w:val="00E60206"/>
    <w:rsid w:val="00E6049B"/>
    <w:rsid w:val="00E61446"/>
    <w:rsid w:val="00E61C98"/>
    <w:rsid w:val="00E62068"/>
    <w:rsid w:val="00E6215E"/>
    <w:rsid w:val="00E62223"/>
    <w:rsid w:val="00E62384"/>
    <w:rsid w:val="00E623B6"/>
    <w:rsid w:val="00E62C51"/>
    <w:rsid w:val="00E650AD"/>
    <w:rsid w:val="00E65FD8"/>
    <w:rsid w:val="00E661AD"/>
    <w:rsid w:val="00E66318"/>
    <w:rsid w:val="00E66759"/>
    <w:rsid w:val="00E66F4D"/>
    <w:rsid w:val="00E66FAB"/>
    <w:rsid w:val="00E701AF"/>
    <w:rsid w:val="00E70E5F"/>
    <w:rsid w:val="00E72AD0"/>
    <w:rsid w:val="00E72E39"/>
    <w:rsid w:val="00E74971"/>
    <w:rsid w:val="00E74BC9"/>
    <w:rsid w:val="00E7512A"/>
    <w:rsid w:val="00E764C2"/>
    <w:rsid w:val="00E76704"/>
    <w:rsid w:val="00E77EAF"/>
    <w:rsid w:val="00E80020"/>
    <w:rsid w:val="00E802D9"/>
    <w:rsid w:val="00E8388F"/>
    <w:rsid w:val="00E8395D"/>
    <w:rsid w:val="00E841AF"/>
    <w:rsid w:val="00E84A13"/>
    <w:rsid w:val="00E84B2C"/>
    <w:rsid w:val="00E85079"/>
    <w:rsid w:val="00E85D0C"/>
    <w:rsid w:val="00E86079"/>
    <w:rsid w:val="00E864D5"/>
    <w:rsid w:val="00E86962"/>
    <w:rsid w:val="00E8782D"/>
    <w:rsid w:val="00E91BF4"/>
    <w:rsid w:val="00E92222"/>
    <w:rsid w:val="00E9237D"/>
    <w:rsid w:val="00E93541"/>
    <w:rsid w:val="00E936B4"/>
    <w:rsid w:val="00E9462C"/>
    <w:rsid w:val="00E947DE"/>
    <w:rsid w:val="00E96EEA"/>
    <w:rsid w:val="00E9707C"/>
    <w:rsid w:val="00E97430"/>
    <w:rsid w:val="00EA00C0"/>
    <w:rsid w:val="00EA0D1B"/>
    <w:rsid w:val="00EA0E1A"/>
    <w:rsid w:val="00EA1EC3"/>
    <w:rsid w:val="00EA25B8"/>
    <w:rsid w:val="00EA2760"/>
    <w:rsid w:val="00EA3CDF"/>
    <w:rsid w:val="00EA402A"/>
    <w:rsid w:val="00EA4B5C"/>
    <w:rsid w:val="00EA57B3"/>
    <w:rsid w:val="00EA5949"/>
    <w:rsid w:val="00EA5D2F"/>
    <w:rsid w:val="00EA70AB"/>
    <w:rsid w:val="00EA719E"/>
    <w:rsid w:val="00EA79C0"/>
    <w:rsid w:val="00EB0BE3"/>
    <w:rsid w:val="00EB0D74"/>
    <w:rsid w:val="00EB112B"/>
    <w:rsid w:val="00EB12A9"/>
    <w:rsid w:val="00EB248A"/>
    <w:rsid w:val="00EB2D6B"/>
    <w:rsid w:val="00EB3595"/>
    <w:rsid w:val="00EB36DF"/>
    <w:rsid w:val="00EB3977"/>
    <w:rsid w:val="00EB3C90"/>
    <w:rsid w:val="00EB4C11"/>
    <w:rsid w:val="00EB4EF7"/>
    <w:rsid w:val="00EB58B8"/>
    <w:rsid w:val="00EB5EF6"/>
    <w:rsid w:val="00EB6157"/>
    <w:rsid w:val="00EB676F"/>
    <w:rsid w:val="00EB771C"/>
    <w:rsid w:val="00EB7981"/>
    <w:rsid w:val="00EC0EEF"/>
    <w:rsid w:val="00EC1429"/>
    <w:rsid w:val="00EC2172"/>
    <w:rsid w:val="00EC2EE8"/>
    <w:rsid w:val="00EC303B"/>
    <w:rsid w:val="00EC3C5A"/>
    <w:rsid w:val="00EC44AE"/>
    <w:rsid w:val="00EC4562"/>
    <w:rsid w:val="00EC468D"/>
    <w:rsid w:val="00EC47D5"/>
    <w:rsid w:val="00EC5463"/>
    <w:rsid w:val="00EC5EA6"/>
    <w:rsid w:val="00EC629C"/>
    <w:rsid w:val="00EC62E8"/>
    <w:rsid w:val="00EC6CB3"/>
    <w:rsid w:val="00EC75AE"/>
    <w:rsid w:val="00EC7C7A"/>
    <w:rsid w:val="00ED0152"/>
    <w:rsid w:val="00ED28A9"/>
    <w:rsid w:val="00ED2A87"/>
    <w:rsid w:val="00ED3585"/>
    <w:rsid w:val="00ED3718"/>
    <w:rsid w:val="00ED3B16"/>
    <w:rsid w:val="00ED3D69"/>
    <w:rsid w:val="00ED4417"/>
    <w:rsid w:val="00ED4F6D"/>
    <w:rsid w:val="00ED5205"/>
    <w:rsid w:val="00ED54CC"/>
    <w:rsid w:val="00ED5BF1"/>
    <w:rsid w:val="00ED5CCD"/>
    <w:rsid w:val="00ED69F4"/>
    <w:rsid w:val="00ED6ABD"/>
    <w:rsid w:val="00ED7A0C"/>
    <w:rsid w:val="00EE03CA"/>
    <w:rsid w:val="00EE058B"/>
    <w:rsid w:val="00EE09A5"/>
    <w:rsid w:val="00EE1652"/>
    <w:rsid w:val="00EE1865"/>
    <w:rsid w:val="00EE1BD3"/>
    <w:rsid w:val="00EE23DB"/>
    <w:rsid w:val="00EE306C"/>
    <w:rsid w:val="00EE3761"/>
    <w:rsid w:val="00EE484E"/>
    <w:rsid w:val="00EE5812"/>
    <w:rsid w:val="00EE66D8"/>
    <w:rsid w:val="00EE6781"/>
    <w:rsid w:val="00EE680D"/>
    <w:rsid w:val="00EE6ADC"/>
    <w:rsid w:val="00EE7F3D"/>
    <w:rsid w:val="00EF0628"/>
    <w:rsid w:val="00EF07AC"/>
    <w:rsid w:val="00EF09C8"/>
    <w:rsid w:val="00EF0E94"/>
    <w:rsid w:val="00EF2020"/>
    <w:rsid w:val="00EF2313"/>
    <w:rsid w:val="00EF276D"/>
    <w:rsid w:val="00EF33DC"/>
    <w:rsid w:val="00EF3FC8"/>
    <w:rsid w:val="00EF4085"/>
    <w:rsid w:val="00EF44A0"/>
    <w:rsid w:val="00EF48FC"/>
    <w:rsid w:val="00EF4B4C"/>
    <w:rsid w:val="00EF4BD3"/>
    <w:rsid w:val="00EF5F04"/>
    <w:rsid w:val="00EF6400"/>
    <w:rsid w:val="00EF6980"/>
    <w:rsid w:val="00EF74CC"/>
    <w:rsid w:val="00EF79E7"/>
    <w:rsid w:val="00EF7E3B"/>
    <w:rsid w:val="00EF7F07"/>
    <w:rsid w:val="00F00849"/>
    <w:rsid w:val="00F00A67"/>
    <w:rsid w:val="00F00A9E"/>
    <w:rsid w:val="00F016C7"/>
    <w:rsid w:val="00F01957"/>
    <w:rsid w:val="00F01D84"/>
    <w:rsid w:val="00F01F61"/>
    <w:rsid w:val="00F020EF"/>
    <w:rsid w:val="00F02EAC"/>
    <w:rsid w:val="00F03063"/>
    <w:rsid w:val="00F030C8"/>
    <w:rsid w:val="00F03616"/>
    <w:rsid w:val="00F0385D"/>
    <w:rsid w:val="00F03B06"/>
    <w:rsid w:val="00F03BA5"/>
    <w:rsid w:val="00F03CD6"/>
    <w:rsid w:val="00F03F04"/>
    <w:rsid w:val="00F041F2"/>
    <w:rsid w:val="00F04251"/>
    <w:rsid w:val="00F048F2"/>
    <w:rsid w:val="00F04FC3"/>
    <w:rsid w:val="00F0601D"/>
    <w:rsid w:val="00F06407"/>
    <w:rsid w:val="00F071BC"/>
    <w:rsid w:val="00F07580"/>
    <w:rsid w:val="00F07848"/>
    <w:rsid w:val="00F078E8"/>
    <w:rsid w:val="00F10512"/>
    <w:rsid w:val="00F10ADF"/>
    <w:rsid w:val="00F10F4B"/>
    <w:rsid w:val="00F118E0"/>
    <w:rsid w:val="00F14975"/>
    <w:rsid w:val="00F149C8"/>
    <w:rsid w:val="00F14D2C"/>
    <w:rsid w:val="00F15571"/>
    <w:rsid w:val="00F1658E"/>
    <w:rsid w:val="00F16641"/>
    <w:rsid w:val="00F17A6D"/>
    <w:rsid w:val="00F2064D"/>
    <w:rsid w:val="00F20781"/>
    <w:rsid w:val="00F2166D"/>
    <w:rsid w:val="00F21D50"/>
    <w:rsid w:val="00F229AA"/>
    <w:rsid w:val="00F23149"/>
    <w:rsid w:val="00F24721"/>
    <w:rsid w:val="00F24B42"/>
    <w:rsid w:val="00F24E89"/>
    <w:rsid w:val="00F259CF"/>
    <w:rsid w:val="00F25AE1"/>
    <w:rsid w:val="00F268CA"/>
    <w:rsid w:val="00F26B2A"/>
    <w:rsid w:val="00F26C6B"/>
    <w:rsid w:val="00F275D6"/>
    <w:rsid w:val="00F301A0"/>
    <w:rsid w:val="00F30C39"/>
    <w:rsid w:val="00F3134F"/>
    <w:rsid w:val="00F32367"/>
    <w:rsid w:val="00F3253B"/>
    <w:rsid w:val="00F3261B"/>
    <w:rsid w:val="00F327A4"/>
    <w:rsid w:val="00F33379"/>
    <w:rsid w:val="00F338A6"/>
    <w:rsid w:val="00F33E60"/>
    <w:rsid w:val="00F349BE"/>
    <w:rsid w:val="00F34A42"/>
    <w:rsid w:val="00F36221"/>
    <w:rsid w:val="00F366E2"/>
    <w:rsid w:val="00F36755"/>
    <w:rsid w:val="00F36AC0"/>
    <w:rsid w:val="00F36F84"/>
    <w:rsid w:val="00F37128"/>
    <w:rsid w:val="00F37357"/>
    <w:rsid w:val="00F37A06"/>
    <w:rsid w:val="00F37FFA"/>
    <w:rsid w:val="00F401D1"/>
    <w:rsid w:val="00F40BC5"/>
    <w:rsid w:val="00F40FAB"/>
    <w:rsid w:val="00F41BD1"/>
    <w:rsid w:val="00F42161"/>
    <w:rsid w:val="00F433A9"/>
    <w:rsid w:val="00F44137"/>
    <w:rsid w:val="00F4443D"/>
    <w:rsid w:val="00F44B2E"/>
    <w:rsid w:val="00F45592"/>
    <w:rsid w:val="00F462C7"/>
    <w:rsid w:val="00F4646B"/>
    <w:rsid w:val="00F464F3"/>
    <w:rsid w:val="00F46F42"/>
    <w:rsid w:val="00F470F4"/>
    <w:rsid w:val="00F4796F"/>
    <w:rsid w:val="00F50947"/>
    <w:rsid w:val="00F50FC4"/>
    <w:rsid w:val="00F51525"/>
    <w:rsid w:val="00F51DE4"/>
    <w:rsid w:val="00F52F0D"/>
    <w:rsid w:val="00F53756"/>
    <w:rsid w:val="00F54638"/>
    <w:rsid w:val="00F546B0"/>
    <w:rsid w:val="00F56D31"/>
    <w:rsid w:val="00F57853"/>
    <w:rsid w:val="00F5792A"/>
    <w:rsid w:val="00F57D26"/>
    <w:rsid w:val="00F60314"/>
    <w:rsid w:val="00F6065F"/>
    <w:rsid w:val="00F60BEA"/>
    <w:rsid w:val="00F60D0A"/>
    <w:rsid w:val="00F61411"/>
    <w:rsid w:val="00F61437"/>
    <w:rsid w:val="00F61647"/>
    <w:rsid w:val="00F620A4"/>
    <w:rsid w:val="00F62841"/>
    <w:rsid w:val="00F62EDD"/>
    <w:rsid w:val="00F63149"/>
    <w:rsid w:val="00F63D1C"/>
    <w:rsid w:val="00F650BB"/>
    <w:rsid w:val="00F65B85"/>
    <w:rsid w:val="00F671F0"/>
    <w:rsid w:val="00F673AD"/>
    <w:rsid w:val="00F67C69"/>
    <w:rsid w:val="00F70074"/>
    <w:rsid w:val="00F7051C"/>
    <w:rsid w:val="00F70A4C"/>
    <w:rsid w:val="00F70FF6"/>
    <w:rsid w:val="00F71AA9"/>
    <w:rsid w:val="00F72C29"/>
    <w:rsid w:val="00F72DE1"/>
    <w:rsid w:val="00F73248"/>
    <w:rsid w:val="00F736C3"/>
    <w:rsid w:val="00F74480"/>
    <w:rsid w:val="00F74820"/>
    <w:rsid w:val="00F75180"/>
    <w:rsid w:val="00F75B3F"/>
    <w:rsid w:val="00F75B45"/>
    <w:rsid w:val="00F76CB9"/>
    <w:rsid w:val="00F778B4"/>
    <w:rsid w:val="00F77DB2"/>
    <w:rsid w:val="00F77F71"/>
    <w:rsid w:val="00F80090"/>
    <w:rsid w:val="00F80461"/>
    <w:rsid w:val="00F819A7"/>
    <w:rsid w:val="00F82589"/>
    <w:rsid w:val="00F82741"/>
    <w:rsid w:val="00F82EFA"/>
    <w:rsid w:val="00F82F36"/>
    <w:rsid w:val="00F83145"/>
    <w:rsid w:val="00F8336B"/>
    <w:rsid w:val="00F833C9"/>
    <w:rsid w:val="00F8355E"/>
    <w:rsid w:val="00F83C57"/>
    <w:rsid w:val="00F84C56"/>
    <w:rsid w:val="00F8561B"/>
    <w:rsid w:val="00F8676D"/>
    <w:rsid w:val="00F87B02"/>
    <w:rsid w:val="00F90311"/>
    <w:rsid w:val="00F91245"/>
    <w:rsid w:val="00F9125A"/>
    <w:rsid w:val="00F91F19"/>
    <w:rsid w:val="00F92A62"/>
    <w:rsid w:val="00F9379A"/>
    <w:rsid w:val="00F946AB"/>
    <w:rsid w:val="00F948B7"/>
    <w:rsid w:val="00F94B14"/>
    <w:rsid w:val="00F955E9"/>
    <w:rsid w:val="00F95D3D"/>
    <w:rsid w:val="00F96239"/>
    <w:rsid w:val="00F96944"/>
    <w:rsid w:val="00FA0359"/>
    <w:rsid w:val="00FA085F"/>
    <w:rsid w:val="00FA0D55"/>
    <w:rsid w:val="00FA1835"/>
    <w:rsid w:val="00FA1EB4"/>
    <w:rsid w:val="00FA229D"/>
    <w:rsid w:val="00FA2658"/>
    <w:rsid w:val="00FA2B47"/>
    <w:rsid w:val="00FA2EA1"/>
    <w:rsid w:val="00FA4636"/>
    <w:rsid w:val="00FA46B8"/>
    <w:rsid w:val="00FA49C9"/>
    <w:rsid w:val="00FA49DE"/>
    <w:rsid w:val="00FA4C4B"/>
    <w:rsid w:val="00FA5FA3"/>
    <w:rsid w:val="00FA5FB2"/>
    <w:rsid w:val="00FA630F"/>
    <w:rsid w:val="00FA64AE"/>
    <w:rsid w:val="00FA690E"/>
    <w:rsid w:val="00FA6C51"/>
    <w:rsid w:val="00FA6C8B"/>
    <w:rsid w:val="00FA7E58"/>
    <w:rsid w:val="00FB0309"/>
    <w:rsid w:val="00FB0E8D"/>
    <w:rsid w:val="00FB17B3"/>
    <w:rsid w:val="00FB2939"/>
    <w:rsid w:val="00FB2AB1"/>
    <w:rsid w:val="00FB368D"/>
    <w:rsid w:val="00FB4045"/>
    <w:rsid w:val="00FB509F"/>
    <w:rsid w:val="00FB66BB"/>
    <w:rsid w:val="00FB6C99"/>
    <w:rsid w:val="00FB765E"/>
    <w:rsid w:val="00FB7C03"/>
    <w:rsid w:val="00FC0555"/>
    <w:rsid w:val="00FC0EEC"/>
    <w:rsid w:val="00FC1059"/>
    <w:rsid w:val="00FC11DB"/>
    <w:rsid w:val="00FC1483"/>
    <w:rsid w:val="00FC160D"/>
    <w:rsid w:val="00FC18ED"/>
    <w:rsid w:val="00FC288C"/>
    <w:rsid w:val="00FC2D6E"/>
    <w:rsid w:val="00FC37B0"/>
    <w:rsid w:val="00FC38A7"/>
    <w:rsid w:val="00FC3EB5"/>
    <w:rsid w:val="00FC40F4"/>
    <w:rsid w:val="00FC4B55"/>
    <w:rsid w:val="00FC53C3"/>
    <w:rsid w:val="00FC5540"/>
    <w:rsid w:val="00FC57B8"/>
    <w:rsid w:val="00FC58F0"/>
    <w:rsid w:val="00FC5A0B"/>
    <w:rsid w:val="00FC6C53"/>
    <w:rsid w:val="00FC7E36"/>
    <w:rsid w:val="00FD0605"/>
    <w:rsid w:val="00FD0F3A"/>
    <w:rsid w:val="00FD166B"/>
    <w:rsid w:val="00FD16DD"/>
    <w:rsid w:val="00FD1BA3"/>
    <w:rsid w:val="00FD2166"/>
    <w:rsid w:val="00FD2535"/>
    <w:rsid w:val="00FD276C"/>
    <w:rsid w:val="00FD3DD5"/>
    <w:rsid w:val="00FD4723"/>
    <w:rsid w:val="00FD4923"/>
    <w:rsid w:val="00FD5FF3"/>
    <w:rsid w:val="00FD6663"/>
    <w:rsid w:val="00FD66E2"/>
    <w:rsid w:val="00FD70F4"/>
    <w:rsid w:val="00FD7165"/>
    <w:rsid w:val="00FD776B"/>
    <w:rsid w:val="00FD79BD"/>
    <w:rsid w:val="00FD7B5B"/>
    <w:rsid w:val="00FD7FD5"/>
    <w:rsid w:val="00FE0E69"/>
    <w:rsid w:val="00FE1E08"/>
    <w:rsid w:val="00FE222F"/>
    <w:rsid w:val="00FE2BC8"/>
    <w:rsid w:val="00FE3667"/>
    <w:rsid w:val="00FE4CC5"/>
    <w:rsid w:val="00FE4E57"/>
    <w:rsid w:val="00FE524E"/>
    <w:rsid w:val="00FE5760"/>
    <w:rsid w:val="00FE58DC"/>
    <w:rsid w:val="00FE657D"/>
    <w:rsid w:val="00FE7FB6"/>
    <w:rsid w:val="00FF0DDD"/>
    <w:rsid w:val="00FF0EC4"/>
    <w:rsid w:val="00FF1CAF"/>
    <w:rsid w:val="00FF258B"/>
    <w:rsid w:val="00FF29CE"/>
    <w:rsid w:val="00FF30D1"/>
    <w:rsid w:val="00FF413C"/>
    <w:rsid w:val="00FF4ADB"/>
    <w:rsid w:val="00FF698C"/>
    <w:rsid w:val="00FF6B8B"/>
    <w:rsid w:val="00FF7720"/>
    <w:rsid w:val="0A060A0D"/>
    <w:rsid w:val="21026EA3"/>
    <w:rsid w:val="7FA1374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zh-CN" w:bidi="ar-SA"/>
    </w:rPr>
  </w:style>
  <w:style w:type="paragraph" w:styleId="2">
    <w:name w:val="heading 1"/>
    <w:basedOn w:val="1"/>
    <w:next w:val="1"/>
    <w:link w:val="42"/>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43"/>
    <w:qFormat/>
    <w:uiPriority w:val="9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20">
    <w:name w:val="Default Paragraph Font"/>
    <w:semiHidden/>
    <w:unhideWhenUsed/>
    <w:qFormat/>
    <w:uiPriority w:val="1"/>
  </w:style>
  <w:style w:type="table" w:default="1" w:styleId="25">
    <w:name w:val="Normal Table"/>
    <w:semiHidden/>
    <w:unhideWhenUsed/>
    <w:qFormat/>
    <w:uiPriority w:val="99"/>
    <w:tblPr>
      <w:tblLayout w:type="fixed"/>
      <w:tblCellMar>
        <w:top w:w="0" w:type="dxa"/>
        <w:left w:w="108" w:type="dxa"/>
        <w:bottom w:w="0" w:type="dxa"/>
        <w:right w:w="108" w:type="dxa"/>
      </w:tblCellMar>
    </w:tblPr>
  </w:style>
  <w:style w:type="paragraph" w:styleId="5">
    <w:name w:val="annotation subject"/>
    <w:basedOn w:val="6"/>
    <w:next w:val="6"/>
    <w:link w:val="40"/>
    <w:uiPriority w:val="0"/>
    <w:rPr>
      <w:b/>
      <w:bCs/>
    </w:rPr>
  </w:style>
  <w:style w:type="paragraph" w:styleId="6">
    <w:name w:val="annotation text"/>
    <w:basedOn w:val="1"/>
    <w:link w:val="39"/>
    <w:qFormat/>
    <w:uiPriority w:val="0"/>
  </w:style>
  <w:style w:type="paragraph" w:styleId="7">
    <w:name w:val="Normal Indent"/>
    <w:basedOn w:val="1"/>
    <w:qFormat/>
    <w:uiPriority w:val="0"/>
    <w:pPr>
      <w:widowControl w:val="0"/>
      <w:ind w:firstLine="420" w:firstLineChars="200"/>
      <w:jc w:val="both"/>
    </w:pPr>
    <w:rPr>
      <w:kern w:val="2"/>
      <w:sz w:val="21"/>
    </w:rPr>
  </w:style>
  <w:style w:type="paragraph" w:styleId="8">
    <w:name w:val="Document Map"/>
    <w:basedOn w:val="1"/>
    <w:link w:val="28"/>
    <w:uiPriority w:val="0"/>
    <w:rPr>
      <w:rFonts w:ascii="宋体"/>
      <w:sz w:val="18"/>
      <w:szCs w:val="18"/>
    </w:rPr>
  </w:style>
  <w:style w:type="paragraph" w:styleId="9">
    <w:name w:val="Body Text"/>
    <w:basedOn w:val="1"/>
    <w:link w:val="29"/>
    <w:qFormat/>
    <w:uiPriority w:val="0"/>
    <w:pPr>
      <w:widowControl w:val="0"/>
      <w:spacing w:after="120"/>
      <w:jc w:val="both"/>
    </w:pPr>
    <w:rPr>
      <w:kern w:val="2"/>
      <w:sz w:val="21"/>
    </w:rPr>
  </w:style>
  <w:style w:type="paragraph" w:styleId="10">
    <w:name w:val="Body Text Indent"/>
    <w:basedOn w:val="1"/>
    <w:qFormat/>
    <w:uiPriority w:val="0"/>
    <w:pPr>
      <w:spacing w:after="120"/>
      <w:ind w:left="420" w:leftChars="200"/>
    </w:pPr>
  </w:style>
  <w:style w:type="paragraph" w:styleId="11">
    <w:name w:val="toc 3"/>
    <w:basedOn w:val="1"/>
    <w:next w:val="1"/>
    <w:qFormat/>
    <w:uiPriority w:val="39"/>
    <w:pPr>
      <w:ind w:left="840"/>
    </w:pPr>
  </w:style>
  <w:style w:type="paragraph" w:styleId="12">
    <w:name w:val="Plain Text"/>
    <w:basedOn w:val="1"/>
    <w:link w:val="34"/>
    <w:qFormat/>
    <w:uiPriority w:val="0"/>
    <w:pPr>
      <w:widowControl w:val="0"/>
      <w:jc w:val="both"/>
    </w:pPr>
    <w:rPr>
      <w:rFonts w:ascii="宋体" w:hAnsi="Courier New" w:eastAsia="仿宋_GB2312"/>
      <w:kern w:val="2"/>
      <w:sz w:val="32"/>
      <w:szCs w:val="21"/>
    </w:rPr>
  </w:style>
  <w:style w:type="paragraph" w:styleId="13">
    <w:name w:val="Balloon Text"/>
    <w:basedOn w:val="1"/>
    <w:semiHidden/>
    <w:qFormat/>
    <w:uiPriority w:val="0"/>
    <w:rPr>
      <w:sz w:val="18"/>
      <w:szCs w:val="18"/>
    </w:rPr>
  </w:style>
  <w:style w:type="paragraph" w:styleId="14">
    <w:name w:val="footer"/>
    <w:basedOn w:val="1"/>
    <w:link w:val="30"/>
    <w:qFormat/>
    <w:uiPriority w:val="99"/>
    <w:pPr>
      <w:tabs>
        <w:tab w:val="center" w:pos="4153"/>
        <w:tab w:val="right" w:pos="8306"/>
      </w:tabs>
      <w:snapToGrid w:val="0"/>
    </w:pPr>
    <w:rPr>
      <w:sz w:val="18"/>
      <w:szCs w:val="18"/>
    </w:rPr>
  </w:style>
  <w:style w:type="paragraph" w:styleId="15">
    <w:name w:val="header"/>
    <w:basedOn w:val="1"/>
    <w:next w:val="1"/>
    <w:link w:val="35"/>
    <w:qFormat/>
    <w:uiPriority w:val="0"/>
    <w:pPr>
      <w:tabs>
        <w:tab w:val="center" w:pos="4153"/>
        <w:tab w:val="right" w:pos="8306"/>
      </w:tabs>
      <w:snapToGrid w:val="0"/>
      <w:jc w:val="center"/>
    </w:pPr>
    <w:rPr>
      <w:sz w:val="18"/>
      <w:szCs w:val="18"/>
    </w:rPr>
  </w:style>
  <w:style w:type="paragraph" w:styleId="16">
    <w:name w:val="toc 1"/>
    <w:basedOn w:val="1"/>
    <w:next w:val="1"/>
    <w:qFormat/>
    <w:uiPriority w:val="39"/>
    <w:pPr>
      <w:tabs>
        <w:tab w:val="right" w:leader="dot" w:pos="8302"/>
      </w:tabs>
    </w:pPr>
    <w:rPr>
      <w:rFonts w:hAnsi="黑体" w:eastAsia="黑体"/>
      <w:sz w:val="28"/>
      <w:szCs w:val="28"/>
    </w:rPr>
  </w:style>
  <w:style w:type="paragraph" w:styleId="17">
    <w:name w:val="Body Text Indent 3"/>
    <w:basedOn w:val="1"/>
    <w:link w:val="31"/>
    <w:qFormat/>
    <w:uiPriority w:val="0"/>
    <w:pPr>
      <w:spacing w:after="120"/>
      <w:ind w:left="420" w:leftChars="200"/>
    </w:pPr>
    <w:rPr>
      <w:sz w:val="16"/>
      <w:szCs w:val="16"/>
    </w:rPr>
  </w:style>
  <w:style w:type="paragraph" w:styleId="18">
    <w:name w:val="toc 2"/>
    <w:basedOn w:val="1"/>
    <w:next w:val="1"/>
    <w:qFormat/>
    <w:uiPriority w:val="39"/>
    <w:pPr>
      <w:tabs>
        <w:tab w:val="right" w:leader="dot" w:pos="8302"/>
      </w:tabs>
      <w:spacing w:line="360" w:lineRule="auto"/>
      <w:ind w:firstLine="540" w:firstLineChars="225"/>
    </w:pPr>
  </w:style>
  <w:style w:type="paragraph" w:styleId="19">
    <w:name w:val="Normal (Web)"/>
    <w:basedOn w:val="1"/>
    <w:unhideWhenUsed/>
    <w:qFormat/>
    <w:uiPriority w:val="99"/>
    <w:pPr>
      <w:spacing w:before="100" w:beforeAutospacing="1" w:after="100" w:afterAutospacing="1"/>
    </w:pPr>
    <w:rPr>
      <w:rFonts w:ascii="宋体" w:hAnsi="宋体" w:cs="宋体"/>
    </w:rPr>
  </w:style>
  <w:style w:type="character" w:styleId="21">
    <w:name w:val="Strong"/>
    <w:qFormat/>
    <w:uiPriority w:val="0"/>
    <w:rPr>
      <w:b/>
      <w:bCs/>
    </w:rPr>
  </w:style>
  <w:style w:type="character" w:styleId="22">
    <w:name w:val="page number"/>
    <w:basedOn w:val="20"/>
    <w:qFormat/>
    <w:uiPriority w:val="0"/>
  </w:style>
  <w:style w:type="character" w:styleId="23">
    <w:name w:val="Hyperlink"/>
    <w:qFormat/>
    <w:uiPriority w:val="99"/>
    <w:rPr>
      <w:color w:val="0000FF"/>
      <w:u w:val="single"/>
    </w:rPr>
  </w:style>
  <w:style w:type="character" w:styleId="24">
    <w:name w:val="annotation reference"/>
    <w:qFormat/>
    <w:uiPriority w:val="0"/>
    <w:rPr>
      <w:sz w:val="21"/>
      <w:szCs w:val="21"/>
    </w:rPr>
  </w:style>
  <w:style w:type="table" w:styleId="26">
    <w:name w:val="Table Grid"/>
    <w:basedOn w:val="2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27">
    <w:name w:val="默认段落字体 Para Char"/>
    <w:basedOn w:val="1"/>
    <w:qFormat/>
    <w:uiPriority w:val="0"/>
    <w:pPr>
      <w:widowControl w:val="0"/>
      <w:jc w:val="both"/>
    </w:pPr>
    <w:rPr>
      <w:kern w:val="2"/>
      <w:sz w:val="21"/>
      <w:szCs w:val="20"/>
    </w:rPr>
  </w:style>
  <w:style w:type="character" w:customStyle="1" w:styleId="28">
    <w:name w:val="文档结构图 Char"/>
    <w:link w:val="8"/>
    <w:qFormat/>
    <w:uiPriority w:val="0"/>
    <w:rPr>
      <w:rFonts w:ascii="宋体"/>
      <w:sz w:val="18"/>
      <w:szCs w:val="18"/>
    </w:rPr>
  </w:style>
  <w:style w:type="character" w:customStyle="1" w:styleId="29">
    <w:name w:val="正文文本 Char"/>
    <w:link w:val="9"/>
    <w:qFormat/>
    <w:uiPriority w:val="0"/>
    <w:rPr>
      <w:kern w:val="2"/>
      <w:sz w:val="21"/>
      <w:szCs w:val="24"/>
    </w:rPr>
  </w:style>
  <w:style w:type="character" w:customStyle="1" w:styleId="30">
    <w:name w:val="页脚 Char"/>
    <w:link w:val="14"/>
    <w:qFormat/>
    <w:locked/>
    <w:uiPriority w:val="99"/>
    <w:rPr>
      <w:sz w:val="18"/>
      <w:szCs w:val="18"/>
    </w:rPr>
  </w:style>
  <w:style w:type="character" w:customStyle="1" w:styleId="31">
    <w:name w:val="正文文本缩进 3 Char"/>
    <w:link w:val="17"/>
    <w:qFormat/>
    <w:uiPriority w:val="0"/>
    <w:rPr>
      <w:sz w:val="16"/>
      <w:szCs w:val="16"/>
    </w:rPr>
  </w:style>
  <w:style w:type="character" w:customStyle="1" w:styleId="32">
    <w:name w:val="列出段落 Char"/>
    <w:link w:val="33"/>
    <w:qFormat/>
    <w:locked/>
    <w:uiPriority w:val="34"/>
    <w:rPr>
      <w:rFonts w:ascii="宋体" w:hAnsi="宋体"/>
      <w:sz w:val="24"/>
      <w:szCs w:val="24"/>
    </w:rPr>
  </w:style>
  <w:style w:type="paragraph" w:customStyle="1" w:styleId="33">
    <w:name w:val="列出段落2"/>
    <w:basedOn w:val="1"/>
    <w:link w:val="32"/>
    <w:qFormat/>
    <w:uiPriority w:val="34"/>
    <w:pPr>
      <w:adjustRightInd w:val="0"/>
      <w:snapToGrid w:val="0"/>
      <w:spacing w:line="360" w:lineRule="auto"/>
      <w:ind w:left="720" w:firstLine="437"/>
      <w:contextualSpacing/>
      <w:jc w:val="both"/>
    </w:pPr>
    <w:rPr>
      <w:rFonts w:ascii="宋体" w:hAnsi="宋体"/>
    </w:rPr>
  </w:style>
  <w:style w:type="character" w:customStyle="1" w:styleId="34">
    <w:name w:val="纯文本 Char"/>
    <w:link w:val="12"/>
    <w:qFormat/>
    <w:uiPriority w:val="0"/>
    <w:rPr>
      <w:rFonts w:ascii="宋体" w:hAnsi="Courier New" w:eastAsia="仿宋_GB2312"/>
      <w:kern w:val="2"/>
      <w:sz w:val="32"/>
      <w:szCs w:val="21"/>
    </w:rPr>
  </w:style>
  <w:style w:type="character" w:customStyle="1" w:styleId="35">
    <w:name w:val="页眉 Char"/>
    <w:link w:val="15"/>
    <w:qFormat/>
    <w:uiPriority w:val="0"/>
    <w:rPr>
      <w:sz w:val="18"/>
      <w:szCs w:val="18"/>
    </w:rPr>
  </w:style>
  <w:style w:type="paragraph" w:customStyle="1" w:styleId="36">
    <w:name w:val="样式1"/>
    <w:basedOn w:val="15"/>
    <w:link w:val="38"/>
    <w:qFormat/>
    <w:uiPriority w:val="0"/>
  </w:style>
  <w:style w:type="table" w:customStyle="1" w:styleId="37">
    <w:name w:val="网格型1"/>
    <w:basedOn w:val="2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38">
    <w:name w:val="样式1 Char"/>
    <w:basedOn w:val="35"/>
    <w:link w:val="36"/>
    <w:qFormat/>
    <w:uiPriority w:val="0"/>
    <w:rPr>
      <w:sz w:val="18"/>
      <w:szCs w:val="18"/>
    </w:rPr>
  </w:style>
  <w:style w:type="character" w:customStyle="1" w:styleId="39">
    <w:name w:val="批注文字 Char"/>
    <w:link w:val="6"/>
    <w:qFormat/>
    <w:uiPriority w:val="0"/>
    <w:rPr>
      <w:sz w:val="24"/>
      <w:szCs w:val="24"/>
    </w:rPr>
  </w:style>
  <w:style w:type="character" w:customStyle="1" w:styleId="40">
    <w:name w:val="批注主题 Char"/>
    <w:link w:val="5"/>
    <w:qFormat/>
    <w:uiPriority w:val="0"/>
    <w:rPr>
      <w:b/>
      <w:bCs/>
      <w:sz w:val="24"/>
      <w:szCs w:val="24"/>
    </w:rPr>
  </w:style>
  <w:style w:type="paragraph" w:customStyle="1" w:styleId="41">
    <w:name w:val="Revision"/>
    <w:hidden/>
    <w:semiHidden/>
    <w:qFormat/>
    <w:uiPriority w:val="99"/>
    <w:rPr>
      <w:rFonts w:ascii="Times New Roman" w:hAnsi="Times New Roman" w:eastAsia="宋体" w:cs="Times New Roman"/>
      <w:sz w:val="24"/>
      <w:szCs w:val="24"/>
      <w:lang w:val="en-US" w:eastAsia="zh-CN" w:bidi="ar-SA"/>
    </w:rPr>
  </w:style>
  <w:style w:type="character" w:customStyle="1" w:styleId="42">
    <w:name w:val="标题 1 Char"/>
    <w:basedOn w:val="20"/>
    <w:link w:val="2"/>
    <w:qFormat/>
    <w:uiPriority w:val="99"/>
    <w:rPr>
      <w:b/>
      <w:bCs/>
      <w:kern w:val="44"/>
      <w:sz w:val="44"/>
      <w:szCs w:val="44"/>
    </w:rPr>
  </w:style>
  <w:style w:type="character" w:customStyle="1" w:styleId="43">
    <w:name w:val="标题 2 Char"/>
    <w:basedOn w:val="20"/>
    <w:link w:val="3"/>
    <w:qFormat/>
    <w:uiPriority w:val="99"/>
    <w:rPr>
      <w:rFonts w:ascii="Arial" w:hAnsi="Arial" w:eastAsia="黑体"/>
      <w:b/>
      <w:bCs/>
      <w:sz w:val="32"/>
      <w:szCs w:val="32"/>
    </w:rPr>
  </w:style>
  <w:style w:type="paragraph" w:styleId="4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735F68-CEC2-45FC-8B1D-4839D4D15F6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50</Pages>
  <Words>4482</Words>
  <Characters>25552</Characters>
  <Lines>212</Lines>
  <Paragraphs>59</Paragraphs>
  <TotalTime>11117</TotalTime>
  <ScaleCrop>false</ScaleCrop>
  <LinksUpToDate>false</LinksUpToDate>
  <CharactersWithSpaces>29975</CharactersWithSpaces>
  <Application>WPS Office_10.8.2.6948_F1E327BC-269C-435d-A152-05C5408002CA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2017-12-05T03:17:00Z</dcterms:created>
  <dc:creator>Administrator</dc:creator>
  <cp:lastModifiedBy>王丽娜</cp:lastModifiedBy>
  <cp:lastPrinted>2021-07-21T03:28:00Z</cp:lastPrinted>
  <dcterms:modified xsi:type="dcterms:W3CDTF">2021-09-10T08:50:28Z</dcterms:modified>
  <dc:title>第一章　绪言</dc:title>
  <cp:revision>1155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2052-10.8.2.6948</vt:lpwstr>
  </property>
</Properties>
</file>